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3DE02">
      <w:pPr>
        <w:spacing w:line="360" w:lineRule="auto"/>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金新小学2024学年第一学期教导处工作计划</w:t>
      </w:r>
    </w:p>
    <w:p w14:paraId="1F9EA0A7">
      <w:pPr>
        <w:spacing w:line="360" w:lineRule="auto"/>
        <w:ind w:firstLine="482" w:firstLineChars="200"/>
        <w:rPr>
          <w:rFonts w:hint="eastAsia"/>
          <w:b/>
          <w:bCs/>
          <w:sz w:val="24"/>
          <w:szCs w:val="24"/>
          <w:lang w:val="en-US" w:eastAsia="zh-CN"/>
        </w:rPr>
      </w:pPr>
      <w:r>
        <w:rPr>
          <w:rFonts w:hint="eastAsia"/>
          <w:b/>
          <w:bCs/>
          <w:sz w:val="24"/>
          <w:szCs w:val="24"/>
          <w:lang w:val="en-US" w:eastAsia="zh-CN"/>
        </w:rPr>
        <w:t>一、指导思想</w:t>
      </w:r>
    </w:p>
    <w:p w14:paraId="050F49F1">
      <w:pPr>
        <w:spacing w:line="360" w:lineRule="auto"/>
        <w:ind w:firstLine="480" w:firstLineChars="200"/>
        <w:rPr>
          <w:rFonts w:hint="default"/>
          <w:sz w:val="24"/>
          <w:szCs w:val="24"/>
          <w:lang w:val="en-US" w:eastAsia="zh-CN"/>
        </w:rPr>
      </w:pPr>
      <w:r>
        <w:rPr>
          <w:rFonts w:hint="eastAsia"/>
          <w:sz w:val="24"/>
          <w:szCs w:val="24"/>
          <w:lang w:val="en-US" w:eastAsia="zh-CN"/>
        </w:rPr>
        <w:t>以二十届三中全会精神和习近平新时代中国特色社会主义思想为指导</w:t>
      </w:r>
      <w:r>
        <w:rPr>
          <w:rFonts w:hint="default"/>
          <w:sz w:val="24"/>
          <w:szCs w:val="24"/>
          <w:lang w:val="en-US" w:eastAsia="zh-CN"/>
        </w:rPr>
        <w:t>，全面贯彻党的教育方针，以“稳中求进”为主基调，以落实“双减</w:t>
      </w:r>
      <w:r>
        <w:rPr>
          <w:rFonts w:hint="eastAsia"/>
          <w:sz w:val="24"/>
          <w:szCs w:val="24"/>
          <w:lang w:val="en-US" w:eastAsia="zh-CN"/>
        </w:rPr>
        <w:t>”“</w:t>
      </w:r>
      <w:r>
        <w:rPr>
          <w:rFonts w:hint="default"/>
          <w:sz w:val="24"/>
          <w:szCs w:val="24"/>
          <w:lang w:val="en-US" w:eastAsia="zh-CN"/>
        </w:rPr>
        <w:t>双新”为教育契机，全面落实“立德树人”根本任务，进一步深化课程改革，优化教育教学管理，加强教师队伍建设，全面提高办学水平，</w:t>
      </w:r>
      <w:r>
        <w:rPr>
          <w:rFonts w:hint="eastAsia"/>
          <w:sz w:val="24"/>
          <w:szCs w:val="24"/>
          <w:lang w:val="en-US" w:eastAsia="zh-CN"/>
        </w:rPr>
        <w:t>凝心聚力，务实奋进，办好老百姓家门口的好学校。</w:t>
      </w:r>
    </w:p>
    <w:p w14:paraId="202DE9C5">
      <w:pPr>
        <w:spacing w:line="360" w:lineRule="auto"/>
        <w:ind w:firstLine="480" w:firstLineChars="200"/>
        <w:rPr>
          <w:rFonts w:hint="eastAsia"/>
          <w:sz w:val="24"/>
          <w:szCs w:val="24"/>
          <w:lang w:val="en-US" w:eastAsia="zh-CN"/>
        </w:rPr>
      </w:pPr>
    </w:p>
    <w:p w14:paraId="11173CF8">
      <w:pPr>
        <w:spacing w:line="360" w:lineRule="auto"/>
        <w:ind w:firstLine="482" w:firstLineChars="200"/>
        <w:rPr>
          <w:rFonts w:hint="eastAsia"/>
          <w:b/>
          <w:bCs/>
          <w:sz w:val="24"/>
          <w:szCs w:val="24"/>
          <w:lang w:val="en-US" w:eastAsia="zh-CN"/>
        </w:rPr>
      </w:pPr>
      <w:r>
        <w:rPr>
          <w:rFonts w:hint="eastAsia"/>
          <w:b/>
          <w:bCs/>
          <w:sz w:val="24"/>
          <w:szCs w:val="24"/>
          <w:lang w:val="en-US" w:eastAsia="zh-CN"/>
        </w:rPr>
        <w:t>二、工作目标</w:t>
      </w:r>
    </w:p>
    <w:p w14:paraId="675BF5FE">
      <w:pPr>
        <w:spacing w:line="360" w:lineRule="auto"/>
        <w:ind w:firstLine="480" w:firstLineChars="200"/>
        <w:rPr>
          <w:rFonts w:hint="eastAsia"/>
          <w:sz w:val="24"/>
          <w:szCs w:val="24"/>
          <w:lang w:val="en-US" w:eastAsia="zh-CN"/>
        </w:rPr>
      </w:pPr>
      <w:r>
        <w:rPr>
          <w:rFonts w:hint="eastAsia"/>
          <w:sz w:val="24"/>
          <w:szCs w:val="24"/>
          <w:lang w:val="en-US" w:eastAsia="zh-CN"/>
        </w:rPr>
        <w:t>1. 落实“双减”政策，推进“双新”工作，做好各类学科质量监控，切实开展学科作业设计和教学评价的研究工作，关注过程，规范管理，全面知晓、全员操作、全线推进。</w:t>
      </w:r>
    </w:p>
    <w:p w14:paraId="57A0D056">
      <w:pPr>
        <w:spacing w:line="360" w:lineRule="auto"/>
        <w:ind w:firstLine="480" w:firstLineChars="200"/>
        <w:rPr>
          <w:rFonts w:hint="eastAsia"/>
          <w:sz w:val="24"/>
          <w:szCs w:val="24"/>
          <w:lang w:val="en-US" w:eastAsia="zh-CN"/>
        </w:rPr>
      </w:pPr>
      <w:r>
        <w:rPr>
          <w:rFonts w:hint="eastAsia"/>
          <w:sz w:val="24"/>
          <w:szCs w:val="24"/>
          <w:lang w:val="en-US" w:eastAsia="zh-CN"/>
        </w:rPr>
        <w:t>2. 认真执行国家课程校本化和校本课程特色化工作，结合学校实际，满足学生发展需求，开发具有特色的校本课程，提升教育教学质量。</w:t>
      </w:r>
    </w:p>
    <w:p w14:paraId="62076563">
      <w:pPr>
        <w:spacing w:line="360" w:lineRule="auto"/>
        <w:ind w:firstLine="480" w:firstLineChars="200"/>
        <w:rPr>
          <w:rFonts w:hint="eastAsia"/>
          <w:sz w:val="24"/>
          <w:szCs w:val="24"/>
          <w:lang w:val="en-US" w:eastAsia="zh-CN"/>
        </w:rPr>
      </w:pPr>
      <w:r>
        <w:rPr>
          <w:rFonts w:hint="eastAsia"/>
          <w:sz w:val="24"/>
          <w:szCs w:val="24"/>
          <w:lang w:val="en-US" w:eastAsia="zh-CN"/>
        </w:rPr>
        <w:t>3. 坚持素养导向，以项目化学习、跨学科学习、综合性主题活动的实践和研究为着力点，促进教师教与学方式的变革，践行学科育人。</w:t>
      </w:r>
    </w:p>
    <w:p w14:paraId="1536CA45">
      <w:pPr>
        <w:spacing w:line="360" w:lineRule="auto"/>
        <w:ind w:firstLine="480" w:firstLineChars="200"/>
        <w:rPr>
          <w:rFonts w:hint="eastAsia"/>
          <w:sz w:val="24"/>
          <w:szCs w:val="24"/>
          <w:lang w:val="en-US" w:eastAsia="zh-CN"/>
        </w:rPr>
      </w:pPr>
    </w:p>
    <w:p w14:paraId="31DD159F">
      <w:pPr>
        <w:spacing w:line="360" w:lineRule="auto"/>
        <w:ind w:firstLine="482" w:firstLineChars="200"/>
        <w:rPr>
          <w:rFonts w:hint="eastAsia"/>
          <w:b/>
          <w:bCs/>
          <w:sz w:val="24"/>
          <w:szCs w:val="24"/>
          <w:lang w:val="en-US" w:eastAsia="zh-CN"/>
        </w:rPr>
      </w:pPr>
      <w:r>
        <w:rPr>
          <w:rFonts w:hint="eastAsia"/>
          <w:b/>
          <w:bCs/>
          <w:sz w:val="24"/>
          <w:szCs w:val="24"/>
          <w:lang w:val="en-US" w:eastAsia="zh-CN"/>
        </w:rPr>
        <w:t>三、主要工作</w:t>
      </w:r>
    </w:p>
    <w:p w14:paraId="56A9309D">
      <w:pPr>
        <w:spacing w:line="360" w:lineRule="auto"/>
        <w:ind w:firstLine="480" w:firstLineChars="200"/>
        <w:rPr>
          <w:rFonts w:hint="default"/>
          <w:sz w:val="24"/>
          <w:szCs w:val="24"/>
          <w:lang w:val="en-US" w:eastAsia="zh-CN"/>
        </w:rPr>
      </w:pPr>
      <w:r>
        <w:rPr>
          <w:rFonts w:hint="eastAsia"/>
          <w:sz w:val="24"/>
          <w:szCs w:val="24"/>
          <w:lang w:val="en-US" w:eastAsia="zh-CN"/>
        </w:rPr>
        <w:t>1. 严格执行课程计划，开足开齐各类课程</w:t>
      </w:r>
    </w:p>
    <w:p w14:paraId="1B8D8F39">
      <w:pPr>
        <w:spacing w:line="360" w:lineRule="auto"/>
        <w:ind w:firstLine="480" w:firstLineChars="200"/>
        <w:rPr>
          <w:rFonts w:hint="eastAsia"/>
          <w:sz w:val="24"/>
          <w:szCs w:val="24"/>
          <w:lang w:val="en-US" w:eastAsia="zh-CN"/>
        </w:rPr>
      </w:pPr>
      <w:r>
        <w:rPr>
          <w:rFonts w:hint="eastAsia"/>
          <w:sz w:val="24"/>
          <w:szCs w:val="24"/>
          <w:lang w:val="en-US" w:eastAsia="zh-CN"/>
        </w:rPr>
        <w:t>落实国家课程方案和课程标准，开齐开足各类课程。根据学校课程方案，制定班级课表</w:t>
      </w:r>
      <w:bookmarkStart w:id="0" w:name="_GoBack"/>
      <w:bookmarkEnd w:id="0"/>
      <w:r>
        <w:rPr>
          <w:rFonts w:hint="eastAsia"/>
          <w:sz w:val="24"/>
          <w:szCs w:val="24"/>
          <w:lang w:val="en-US" w:eastAsia="zh-CN"/>
        </w:rPr>
        <w:t>，并落实一年级“晒课表”工作。遵守教材、教辅管理规定，按课程计划组织教学活动，确保课程全面实施。不拔高要求，不加快进度。积极推进课程的校本化实施，以更好地适应学校实际情况和学生需求。</w:t>
      </w:r>
    </w:p>
    <w:p w14:paraId="7DBF2747">
      <w:pPr>
        <w:spacing w:line="360" w:lineRule="auto"/>
        <w:ind w:firstLine="480" w:firstLineChars="200"/>
        <w:rPr>
          <w:rFonts w:hint="eastAsia"/>
          <w:sz w:val="24"/>
          <w:szCs w:val="24"/>
          <w:lang w:val="en-US" w:eastAsia="zh-CN"/>
        </w:rPr>
      </w:pPr>
      <w:r>
        <w:rPr>
          <w:rFonts w:hint="eastAsia"/>
          <w:sz w:val="24"/>
          <w:szCs w:val="24"/>
          <w:lang w:val="en-US" w:eastAsia="zh-CN"/>
        </w:rPr>
        <w:t>2. 推进教育信息化发展，深化教学改革。</w:t>
      </w:r>
    </w:p>
    <w:p w14:paraId="29ABF033">
      <w:pPr>
        <w:spacing w:line="360" w:lineRule="auto"/>
        <w:ind w:firstLine="480" w:firstLineChars="200"/>
        <w:rPr>
          <w:rFonts w:hint="eastAsia"/>
          <w:sz w:val="24"/>
          <w:szCs w:val="24"/>
          <w:lang w:val="en-US" w:eastAsia="zh-CN"/>
        </w:rPr>
      </w:pPr>
      <w:r>
        <w:rPr>
          <w:rFonts w:hint="eastAsia"/>
          <w:sz w:val="24"/>
          <w:szCs w:val="24"/>
          <w:lang w:val="en-US" w:eastAsia="zh-CN"/>
        </w:rPr>
        <w:t>随着信息技术的快速发展，教育信息化已成为提升教学质量和效率的重要手段。本学期学校更换了班级的多媒体设备，提升了学校的硬件设施和软件应用水平，通过引进先进的教学设备和软件，为教师提供更加丰富多样的教学资源，为学生的学习提供更加便捷、高效的方式。同时，学校将推动信息技术与教育教学的深度融合，鼓励教师利用信息技术手段创新教学方式和方法，开展线上线下相结合的教学模式，提高学生的学习效果和兴趣，满足不同学生的个性化学习需求。</w:t>
      </w:r>
    </w:p>
    <w:p w14:paraId="685D221F">
      <w:pPr>
        <w:spacing w:line="360" w:lineRule="auto"/>
        <w:ind w:firstLine="480" w:firstLineChars="200"/>
        <w:rPr>
          <w:rFonts w:hint="eastAsia"/>
          <w:sz w:val="24"/>
          <w:szCs w:val="24"/>
          <w:lang w:val="en-US" w:eastAsia="zh-CN"/>
        </w:rPr>
      </w:pPr>
      <w:r>
        <w:rPr>
          <w:rFonts w:hint="eastAsia"/>
          <w:sz w:val="24"/>
          <w:szCs w:val="24"/>
          <w:lang w:val="en-US" w:eastAsia="zh-CN"/>
        </w:rPr>
        <w:t>3. 坚持课程育人导向，合理开发校本课程</w:t>
      </w:r>
    </w:p>
    <w:p w14:paraId="72C59C31">
      <w:pPr>
        <w:spacing w:line="360" w:lineRule="auto"/>
        <w:ind w:firstLine="480" w:firstLineChars="200"/>
        <w:rPr>
          <w:rFonts w:hint="eastAsia"/>
          <w:sz w:val="24"/>
          <w:szCs w:val="24"/>
          <w:lang w:val="en-US" w:eastAsia="zh-CN"/>
        </w:rPr>
      </w:pPr>
      <w:r>
        <w:rPr>
          <w:rFonts w:hint="eastAsia"/>
          <w:sz w:val="24"/>
          <w:szCs w:val="24"/>
          <w:lang w:val="en-US" w:eastAsia="zh-CN"/>
        </w:rPr>
        <w:t>开发校本课程是一项系统工程，要明确课程目标，结合学校的办学理念和学生的实际需求。课程目标应涵盖知识、能力、情感、价值观等多个维度，确保学生在学习过程中全面发展。教师应根据课程目标，结合学科特点和学生的兴趣爱好，精心挑选和设计教学内容，注重课程的实践性和探究性，鼓励学生主动参与、动手操作，培养他们的创新精神和实践能力。</w:t>
      </w:r>
    </w:p>
    <w:p w14:paraId="53ECFE0C">
      <w:pPr>
        <w:spacing w:line="360" w:lineRule="auto"/>
        <w:ind w:firstLine="480" w:firstLineChars="200"/>
        <w:rPr>
          <w:rFonts w:hint="default"/>
          <w:sz w:val="24"/>
          <w:szCs w:val="24"/>
          <w:lang w:val="en-US" w:eastAsia="zh-CN"/>
        </w:rPr>
      </w:pPr>
      <w:r>
        <w:rPr>
          <w:rFonts w:hint="eastAsia"/>
          <w:sz w:val="24"/>
          <w:szCs w:val="24"/>
          <w:lang w:val="en-US" w:eastAsia="zh-CN"/>
        </w:rPr>
        <w:t>4. 践行新课程理念，落实教学评一体化</w:t>
      </w:r>
    </w:p>
    <w:p w14:paraId="7807F7F6">
      <w:pPr>
        <w:spacing w:line="360" w:lineRule="auto"/>
        <w:ind w:firstLine="480" w:firstLineChars="200"/>
        <w:rPr>
          <w:rFonts w:hint="eastAsia"/>
          <w:sz w:val="24"/>
          <w:szCs w:val="24"/>
          <w:lang w:val="en-US" w:eastAsia="zh-CN"/>
        </w:rPr>
      </w:pPr>
      <w:r>
        <w:rPr>
          <w:rFonts w:hint="eastAsia"/>
          <w:sz w:val="24"/>
          <w:szCs w:val="24"/>
          <w:lang w:val="en-US" w:eastAsia="zh-CN"/>
        </w:rPr>
        <w:t>实现教学评一体化要求教师将课程目标、教学活动与评价方式融合，并贯穿于教学设计的全过程。教师需深入理解新课程标准，重视学生思维能力、创新精神和实践技能的培养。采用多样化的教学方法，设计与教学目标相匹配的评价工具，通过评价促进教师改进教学、促进学生学习真正发生，最大限度地促进学生核心素养的形成与发展。在教研活动中开展教学评一体化的课程研究，通过实践与反思，学习与交流，教师能够更新教育理念，提高教学质量。</w:t>
      </w:r>
    </w:p>
    <w:p w14:paraId="4B4253EC">
      <w:pPr>
        <w:spacing w:line="360" w:lineRule="auto"/>
        <w:ind w:firstLine="480" w:firstLineChars="200"/>
        <w:rPr>
          <w:rFonts w:hint="eastAsia"/>
          <w:sz w:val="24"/>
          <w:szCs w:val="24"/>
          <w:lang w:val="en-US" w:eastAsia="zh-CN"/>
        </w:rPr>
      </w:pPr>
      <w:r>
        <w:rPr>
          <w:rFonts w:hint="eastAsia"/>
          <w:sz w:val="24"/>
          <w:szCs w:val="24"/>
          <w:lang w:val="en-US" w:eastAsia="zh-CN"/>
        </w:rPr>
        <w:t>5. 丰富劳动教育途径，落实课程育人价值</w:t>
      </w:r>
    </w:p>
    <w:p w14:paraId="06A4B2DE">
      <w:pPr>
        <w:spacing w:line="360" w:lineRule="auto"/>
        <w:ind w:firstLine="480" w:firstLineChars="200"/>
        <w:rPr>
          <w:rFonts w:hint="eastAsia"/>
          <w:sz w:val="24"/>
          <w:szCs w:val="24"/>
          <w:lang w:val="en-US" w:eastAsia="zh-CN"/>
        </w:rPr>
      </w:pPr>
      <w:r>
        <w:rPr>
          <w:rFonts w:hint="eastAsia"/>
          <w:sz w:val="24"/>
          <w:szCs w:val="24"/>
          <w:lang w:val="en-US" w:eastAsia="zh-CN"/>
        </w:rPr>
        <w:t>根据教育部印发的《中小学劳动教育指导纲要》的文件精神和要求，参照《义务教育劳动课程标准（2022 版）》中各年级对应任务群要求，学校分年段编制学校劳动教育课程内容，每个学段选择市级公共项目8个，并结合我校实际情况，选用区级特色项目2个，校本编制特色项目2个，并制定分年级劳动实践指导手册和学生劳动手册。</w:t>
      </w:r>
    </w:p>
    <w:p w14:paraId="668F9F9E">
      <w:pPr>
        <w:spacing w:line="360" w:lineRule="auto"/>
        <w:ind w:firstLine="480" w:firstLineChars="200"/>
        <w:rPr>
          <w:rFonts w:hint="eastAsia"/>
          <w:sz w:val="24"/>
          <w:szCs w:val="24"/>
          <w:lang w:val="en-US" w:eastAsia="zh-CN"/>
        </w:rPr>
      </w:pPr>
      <w:r>
        <w:rPr>
          <w:rFonts w:hint="eastAsia"/>
          <w:sz w:val="24"/>
          <w:szCs w:val="24"/>
          <w:lang w:val="en-US" w:eastAsia="zh-CN"/>
        </w:rPr>
        <w:t xml:space="preserve">坚持从“知劳动”“会劳动”“悟劳动”“爱劳动”四方面推进劳动教育的实施。每学年开展一次全校劳动周，坚持组织学生进行日常劳动。结合学段特点安排不同的校园实践方式，低中年级以校园劳动为主，高年级在校园劳动的基础上适当向社会劳动实践拓展，从中树立劳动观念，养成劳动习惯，培养劳动品质。  </w:t>
      </w:r>
    </w:p>
    <w:p w14:paraId="6DBB8D66">
      <w:pPr>
        <w:spacing w:line="360" w:lineRule="auto"/>
        <w:ind w:firstLine="480" w:firstLineChars="200"/>
        <w:rPr>
          <w:rFonts w:hint="eastAsia"/>
          <w:sz w:val="24"/>
          <w:szCs w:val="24"/>
          <w:lang w:val="en-US" w:eastAsia="zh-CN"/>
        </w:rPr>
      </w:pPr>
      <w:r>
        <w:rPr>
          <w:rFonts w:hint="eastAsia"/>
          <w:sz w:val="24"/>
          <w:szCs w:val="24"/>
          <w:lang w:val="en-US" w:eastAsia="zh-CN"/>
        </w:rPr>
        <w:t>6. 丰富校园文化活动，促进学生全面发展</w:t>
      </w:r>
    </w:p>
    <w:p w14:paraId="727057A1">
      <w:pPr>
        <w:spacing w:line="360" w:lineRule="auto"/>
        <w:ind w:firstLine="480" w:firstLineChars="200"/>
        <w:rPr>
          <w:rFonts w:hint="eastAsia" w:ascii="宋体" w:hAnsi="宋体" w:eastAsia="宋体" w:cs="宋体"/>
          <w:b w:val="0"/>
          <w:bCs w:val="0"/>
          <w:sz w:val="24"/>
          <w:szCs w:val="24"/>
          <w:lang w:eastAsia="zh-CN"/>
        </w:rPr>
      </w:pPr>
      <w:r>
        <w:rPr>
          <w:rFonts w:hint="eastAsia"/>
          <w:b w:val="0"/>
          <w:bCs w:val="0"/>
          <w:sz w:val="24"/>
          <w:szCs w:val="24"/>
          <w:lang w:val="en-US" w:eastAsia="zh-CN"/>
        </w:rPr>
        <w:t>为促进学生的全面发展，学校将继续举办形式多样的校园文化活动及社会实践活动，提升学生的综合素养与创新潜能。语文周、科技节、英语周等活动将采用项目化学习的方式，融合中华优秀传统文化，</w:t>
      </w:r>
      <w:r>
        <w:rPr>
          <w:rFonts w:hint="eastAsia" w:ascii="宋体" w:hAnsi="宋体" w:eastAsia="宋体" w:cs="宋体"/>
          <w:b w:val="0"/>
          <w:bCs w:val="0"/>
          <w:sz w:val="24"/>
          <w:szCs w:val="24"/>
          <w:lang w:eastAsia="zh-CN"/>
        </w:rPr>
        <w:t>让每一位学生都能成为文化探索的主动者。通过这些项目化学习的活动，打破学科壁垒，让学生在实践中学习、在探索中成长，让中华优秀传统文化在年轻一代中得到更好地传承与发展。</w:t>
      </w:r>
    </w:p>
    <w:p w14:paraId="112B2DFB">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四、其他工作</w:t>
      </w:r>
    </w:p>
    <w:p w14:paraId="564CAD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1. </w:t>
      </w:r>
      <w:r>
        <w:rPr>
          <w:rFonts w:hint="eastAsia" w:ascii="宋体" w:hAnsi="宋体" w:eastAsia="宋体" w:cs="宋体"/>
          <w:sz w:val="24"/>
          <w:szCs w:val="24"/>
        </w:rPr>
        <w:t>严格按照相关政策，规范学籍管理，完成一年级新生的分班及学籍注册等工作，做好转进、转出等各类学籍管理工作。</w:t>
      </w:r>
    </w:p>
    <w:p w14:paraId="33DABB1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2. </w:t>
      </w:r>
      <w:r>
        <w:rPr>
          <w:rFonts w:hint="eastAsia" w:ascii="宋体" w:hAnsi="宋体" w:eastAsia="宋体" w:cs="宋体"/>
          <w:sz w:val="24"/>
          <w:szCs w:val="24"/>
        </w:rPr>
        <w:t>一年级</w:t>
      </w:r>
      <w:r>
        <w:rPr>
          <w:rFonts w:hint="eastAsia" w:ascii="宋体" w:hAnsi="宋体" w:eastAsia="宋体" w:cs="宋体"/>
          <w:sz w:val="24"/>
          <w:szCs w:val="24"/>
          <w:lang w:val="en-US" w:eastAsia="zh-CN"/>
        </w:rPr>
        <w:t>学习适应期</w:t>
      </w:r>
      <w:r>
        <w:rPr>
          <w:rFonts w:hint="eastAsia" w:ascii="宋体" w:hAnsi="宋体" w:eastAsia="宋体" w:cs="宋体"/>
          <w:sz w:val="24"/>
          <w:szCs w:val="24"/>
        </w:rPr>
        <w:t>。</w:t>
      </w:r>
    </w:p>
    <w:p w14:paraId="44E7836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3. </w:t>
      </w:r>
      <w:r>
        <w:rPr>
          <w:rFonts w:hint="eastAsia" w:ascii="宋体" w:hAnsi="宋体" w:eastAsia="宋体" w:cs="宋体"/>
          <w:sz w:val="24"/>
          <w:szCs w:val="24"/>
        </w:rPr>
        <w:t>五年级写字等级考试。</w:t>
      </w:r>
    </w:p>
    <w:p w14:paraId="00BB0F6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 xml:space="preserve">4. </w:t>
      </w:r>
      <w:r>
        <w:rPr>
          <w:rFonts w:hint="eastAsia" w:ascii="宋体" w:hAnsi="宋体" w:eastAsia="宋体" w:cs="宋体"/>
          <w:sz w:val="24"/>
          <w:szCs w:val="24"/>
        </w:rPr>
        <w:t>一</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年级</w:t>
      </w:r>
      <w:r>
        <w:rPr>
          <w:rFonts w:hint="eastAsia" w:ascii="宋体" w:hAnsi="宋体" w:eastAsia="宋体" w:cs="宋体"/>
          <w:sz w:val="24"/>
          <w:szCs w:val="24"/>
          <w:lang w:val="en-US" w:eastAsia="zh-CN"/>
        </w:rPr>
        <w:t>期末</w:t>
      </w:r>
      <w:r>
        <w:rPr>
          <w:rFonts w:hint="eastAsia" w:ascii="宋体" w:hAnsi="宋体" w:eastAsia="宋体" w:cs="宋体"/>
          <w:sz w:val="24"/>
          <w:szCs w:val="24"/>
        </w:rPr>
        <w:t>游园活动。</w:t>
      </w:r>
    </w:p>
    <w:p w14:paraId="1B753CA1">
      <w:pPr>
        <w:spacing w:line="360" w:lineRule="auto"/>
        <w:ind w:firstLine="480" w:firstLineChars="200"/>
        <w:rPr>
          <w:rFonts w:hint="eastAsia" w:ascii="宋体" w:hAnsi="宋体" w:eastAsia="宋体" w:cs="宋体"/>
          <w:sz w:val="24"/>
          <w:szCs w:val="24"/>
        </w:rPr>
      </w:pPr>
    </w:p>
    <w:p w14:paraId="38730C06">
      <w:pPr>
        <w:spacing w:line="360" w:lineRule="auto"/>
        <w:ind w:firstLine="482" w:firstLineChars="200"/>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五、时间安排</w:t>
      </w:r>
    </w:p>
    <w:tbl>
      <w:tblPr>
        <w:tblStyle w:val="2"/>
        <w:tblW w:w="0" w:type="auto"/>
        <w:jc w:val="center"/>
        <w:tblLayout w:type="fixed"/>
        <w:tblCellMar>
          <w:top w:w="0" w:type="dxa"/>
          <w:left w:w="108" w:type="dxa"/>
          <w:bottom w:w="0" w:type="dxa"/>
          <w:right w:w="108" w:type="dxa"/>
        </w:tblCellMar>
      </w:tblPr>
      <w:tblGrid>
        <w:gridCol w:w="1284"/>
        <w:gridCol w:w="4857"/>
        <w:gridCol w:w="2006"/>
      </w:tblGrid>
      <w:tr w14:paraId="40D06A87">
        <w:tblPrEx>
          <w:tblCellMar>
            <w:top w:w="0" w:type="dxa"/>
            <w:left w:w="108" w:type="dxa"/>
            <w:bottom w:w="0" w:type="dxa"/>
            <w:right w:w="108" w:type="dxa"/>
          </w:tblCellMar>
        </w:tblPrEx>
        <w:trPr>
          <w:trHeight w:val="285" w:hRule="atLeast"/>
          <w:jc w:val="center"/>
        </w:trPr>
        <w:tc>
          <w:tcPr>
            <w:tcW w:w="1284" w:type="dxa"/>
            <w:tcBorders>
              <w:top w:val="single" w:color="auto" w:sz="4" w:space="0"/>
              <w:left w:val="single" w:color="auto" w:sz="4" w:space="0"/>
              <w:bottom w:val="single" w:color="auto" w:sz="4" w:space="0"/>
              <w:right w:val="single" w:color="auto" w:sz="4" w:space="0"/>
            </w:tcBorders>
            <w:noWrap/>
            <w:vAlign w:val="center"/>
          </w:tcPr>
          <w:p w14:paraId="32864F1C">
            <w:pPr>
              <w:spacing w:line="400" w:lineRule="exact"/>
              <w:jc w:val="center"/>
              <w:rPr>
                <w:rFonts w:ascii="宋体" w:hAnsi="宋体" w:cs="宋体"/>
                <w:color w:val="000000"/>
                <w:szCs w:val="21"/>
              </w:rPr>
            </w:pPr>
            <w:r>
              <w:rPr>
                <w:rFonts w:hint="eastAsia" w:ascii="宋体" w:hAnsi="宋体"/>
                <w:color w:val="000000"/>
                <w:szCs w:val="21"/>
              </w:rPr>
              <w:t>周次</w:t>
            </w:r>
          </w:p>
        </w:tc>
        <w:tc>
          <w:tcPr>
            <w:tcW w:w="4857" w:type="dxa"/>
            <w:tcBorders>
              <w:top w:val="single" w:color="auto" w:sz="4" w:space="0"/>
              <w:left w:val="nil"/>
              <w:bottom w:val="single" w:color="auto" w:sz="4" w:space="0"/>
              <w:right w:val="single" w:color="auto" w:sz="4" w:space="0"/>
            </w:tcBorders>
            <w:noWrap/>
            <w:vAlign w:val="center"/>
          </w:tcPr>
          <w:p w14:paraId="6C12AD43">
            <w:pPr>
              <w:spacing w:line="400" w:lineRule="exact"/>
              <w:jc w:val="center"/>
              <w:rPr>
                <w:rFonts w:ascii="宋体" w:hAnsi="宋体" w:cs="宋体"/>
                <w:color w:val="000000"/>
                <w:szCs w:val="21"/>
              </w:rPr>
            </w:pPr>
            <w:r>
              <w:rPr>
                <w:rFonts w:hint="eastAsia" w:ascii="宋体" w:hAnsi="宋体"/>
                <w:color w:val="000000"/>
                <w:szCs w:val="21"/>
              </w:rPr>
              <w:t>项目</w:t>
            </w:r>
          </w:p>
        </w:tc>
        <w:tc>
          <w:tcPr>
            <w:tcW w:w="2006" w:type="dxa"/>
            <w:tcBorders>
              <w:top w:val="single" w:color="auto" w:sz="4" w:space="0"/>
              <w:left w:val="nil"/>
              <w:bottom w:val="single" w:color="auto" w:sz="4" w:space="0"/>
              <w:right w:val="single" w:color="auto" w:sz="4" w:space="0"/>
            </w:tcBorders>
            <w:noWrap/>
            <w:vAlign w:val="center"/>
          </w:tcPr>
          <w:p w14:paraId="254FD71B">
            <w:pPr>
              <w:spacing w:line="400" w:lineRule="exact"/>
              <w:jc w:val="center"/>
              <w:rPr>
                <w:rFonts w:ascii="宋体" w:hAnsi="宋体" w:cs="宋体"/>
                <w:color w:val="000000"/>
                <w:szCs w:val="21"/>
              </w:rPr>
            </w:pPr>
            <w:r>
              <w:rPr>
                <w:rFonts w:hint="eastAsia" w:ascii="宋体" w:hAnsi="宋体"/>
                <w:color w:val="000000"/>
                <w:szCs w:val="21"/>
              </w:rPr>
              <w:t>责任人</w:t>
            </w:r>
          </w:p>
        </w:tc>
      </w:tr>
      <w:tr w14:paraId="5A413FA6">
        <w:tblPrEx>
          <w:tblCellMar>
            <w:top w:w="0" w:type="dxa"/>
            <w:left w:w="108" w:type="dxa"/>
            <w:bottom w:w="0" w:type="dxa"/>
            <w:right w:w="108" w:type="dxa"/>
          </w:tblCellMar>
        </w:tblPrEx>
        <w:trPr>
          <w:trHeight w:val="440" w:hRule="atLeast"/>
          <w:jc w:val="center"/>
        </w:trPr>
        <w:tc>
          <w:tcPr>
            <w:tcW w:w="1284" w:type="dxa"/>
            <w:tcBorders>
              <w:top w:val="nil"/>
              <w:left w:val="single" w:color="auto" w:sz="4" w:space="0"/>
              <w:bottom w:val="single" w:color="auto" w:sz="4" w:space="0"/>
              <w:right w:val="single" w:color="auto" w:sz="4" w:space="0"/>
            </w:tcBorders>
            <w:noWrap/>
            <w:vAlign w:val="center"/>
          </w:tcPr>
          <w:p w14:paraId="73D5D53C">
            <w:pPr>
              <w:spacing w:line="400" w:lineRule="exact"/>
              <w:jc w:val="center"/>
              <w:rPr>
                <w:rFonts w:ascii="宋体" w:hAnsi="宋体"/>
                <w:color w:val="000000"/>
                <w:szCs w:val="21"/>
              </w:rPr>
            </w:pPr>
            <w:r>
              <w:rPr>
                <w:rFonts w:hint="eastAsia" w:ascii="宋体" w:hAnsi="宋体"/>
                <w:color w:val="000000"/>
                <w:szCs w:val="21"/>
              </w:rPr>
              <w:t>第1周</w:t>
            </w:r>
          </w:p>
        </w:tc>
        <w:tc>
          <w:tcPr>
            <w:tcW w:w="4857" w:type="dxa"/>
            <w:tcBorders>
              <w:top w:val="nil"/>
              <w:left w:val="nil"/>
              <w:bottom w:val="single" w:color="auto" w:sz="4" w:space="0"/>
              <w:right w:val="single" w:color="auto" w:sz="4" w:space="0"/>
            </w:tcBorders>
            <w:vAlign w:val="center"/>
          </w:tcPr>
          <w:p w14:paraId="19778A03">
            <w:pPr>
              <w:spacing w:line="400" w:lineRule="exact"/>
              <w:rPr>
                <w:rFonts w:hint="eastAsia" w:ascii="宋体" w:hAnsi="宋体" w:eastAsiaTheme="minorEastAsia"/>
                <w:color w:val="000000"/>
                <w:szCs w:val="21"/>
                <w:lang w:eastAsia="zh-CN"/>
              </w:rPr>
            </w:pPr>
            <w:r>
              <w:rPr>
                <w:rFonts w:ascii="宋体" w:hAnsi="宋体"/>
                <w:color w:val="000000"/>
                <w:szCs w:val="21"/>
              </w:rPr>
              <w:t>备课组活动</w:t>
            </w:r>
            <w:r>
              <w:rPr>
                <w:rFonts w:hint="eastAsia" w:ascii="宋体" w:hAnsi="宋体"/>
                <w:color w:val="000000"/>
                <w:szCs w:val="21"/>
                <w:lang w:eastAsia="zh-CN"/>
              </w:rPr>
              <w:t>；</w:t>
            </w:r>
          </w:p>
          <w:p w14:paraId="5E098651">
            <w:pPr>
              <w:spacing w:line="400" w:lineRule="exact"/>
              <w:rPr>
                <w:rFonts w:hint="eastAsia" w:ascii="宋体" w:hAnsi="宋体"/>
                <w:color w:val="000000"/>
                <w:szCs w:val="21"/>
                <w:lang w:val="en-US" w:eastAsia="zh-CN"/>
              </w:rPr>
            </w:pPr>
            <w:r>
              <w:rPr>
                <w:rFonts w:hint="eastAsia" w:ascii="宋体" w:hAnsi="宋体"/>
                <w:color w:val="000000"/>
                <w:szCs w:val="21"/>
                <w:lang w:val="en-US" w:eastAsia="zh-CN"/>
              </w:rPr>
              <w:t>全校学生注册，一年级学生分班入学籍网；</w:t>
            </w:r>
          </w:p>
          <w:p w14:paraId="6F9E08C8">
            <w:pPr>
              <w:spacing w:line="400" w:lineRule="exact"/>
              <w:rPr>
                <w:rFonts w:hint="default" w:ascii="宋体" w:hAnsi="宋体"/>
                <w:color w:val="000000"/>
                <w:szCs w:val="21"/>
                <w:lang w:val="en-US" w:eastAsia="zh-CN"/>
              </w:rPr>
            </w:pPr>
            <w:r>
              <w:rPr>
                <w:rFonts w:hint="eastAsia" w:ascii="宋体" w:hAnsi="宋体"/>
                <w:color w:val="000000"/>
                <w:szCs w:val="21"/>
                <w:lang w:val="en-US" w:eastAsia="zh-CN"/>
              </w:rPr>
              <w:t>制定教导处工作计划；</w:t>
            </w:r>
          </w:p>
        </w:tc>
        <w:tc>
          <w:tcPr>
            <w:tcW w:w="2006" w:type="dxa"/>
            <w:tcBorders>
              <w:top w:val="nil"/>
              <w:left w:val="nil"/>
              <w:bottom w:val="single" w:color="auto" w:sz="4" w:space="0"/>
              <w:right w:val="single" w:color="auto" w:sz="4" w:space="0"/>
            </w:tcBorders>
            <w:noWrap/>
            <w:vAlign w:val="center"/>
          </w:tcPr>
          <w:p w14:paraId="0D476E10">
            <w:pPr>
              <w:spacing w:line="400" w:lineRule="exact"/>
              <w:rPr>
                <w:rFonts w:ascii="宋体" w:hAnsi="宋体" w:cs="宋体"/>
                <w:color w:val="000000"/>
                <w:szCs w:val="21"/>
              </w:rPr>
            </w:pPr>
            <w:r>
              <w:rPr>
                <w:rFonts w:hint="eastAsia" w:ascii="宋体" w:hAnsi="宋体" w:cs="宋体"/>
                <w:color w:val="000000"/>
                <w:szCs w:val="21"/>
              </w:rPr>
              <w:t>教研组</w:t>
            </w:r>
            <w:r>
              <w:rPr>
                <w:rFonts w:ascii="宋体" w:hAnsi="宋体" w:cs="宋体"/>
                <w:color w:val="000000"/>
                <w:szCs w:val="21"/>
              </w:rPr>
              <w:t>、备课组；</w:t>
            </w:r>
          </w:p>
          <w:p w14:paraId="2091BEAC">
            <w:pPr>
              <w:spacing w:line="400" w:lineRule="exact"/>
              <w:rPr>
                <w:rFonts w:hint="eastAsia" w:ascii="宋体" w:hAnsi="宋体" w:cs="宋体" w:eastAsiaTheme="minorEastAsia"/>
                <w:color w:val="000000"/>
                <w:szCs w:val="21"/>
                <w:lang w:val="en-US" w:eastAsia="zh-CN"/>
              </w:rPr>
            </w:pPr>
            <w:r>
              <w:rPr>
                <w:rFonts w:hint="eastAsia" w:ascii="宋体" w:hAnsi="宋体" w:cs="宋体"/>
                <w:color w:val="000000"/>
                <w:szCs w:val="21"/>
                <w:lang w:val="en-US" w:eastAsia="zh-CN"/>
              </w:rPr>
              <w:t>教导处；</w:t>
            </w:r>
          </w:p>
        </w:tc>
      </w:tr>
      <w:tr w14:paraId="310286C5">
        <w:tblPrEx>
          <w:tblCellMar>
            <w:top w:w="0" w:type="dxa"/>
            <w:left w:w="108" w:type="dxa"/>
            <w:bottom w:w="0" w:type="dxa"/>
            <w:right w:w="108" w:type="dxa"/>
          </w:tblCellMar>
        </w:tblPrEx>
        <w:trPr>
          <w:trHeight w:val="945" w:hRule="atLeast"/>
          <w:jc w:val="center"/>
        </w:trPr>
        <w:tc>
          <w:tcPr>
            <w:tcW w:w="1284" w:type="dxa"/>
            <w:tcBorders>
              <w:top w:val="nil"/>
              <w:left w:val="single" w:color="auto" w:sz="4" w:space="0"/>
              <w:bottom w:val="single" w:color="auto" w:sz="4" w:space="0"/>
              <w:right w:val="single" w:color="auto" w:sz="4" w:space="0"/>
            </w:tcBorders>
            <w:noWrap/>
            <w:vAlign w:val="center"/>
          </w:tcPr>
          <w:p w14:paraId="03ECCD71">
            <w:pPr>
              <w:spacing w:line="400" w:lineRule="exact"/>
              <w:jc w:val="center"/>
              <w:rPr>
                <w:rFonts w:ascii="宋体" w:hAnsi="宋体" w:cs="宋体"/>
                <w:color w:val="000000"/>
                <w:szCs w:val="21"/>
              </w:rPr>
            </w:pPr>
            <w:r>
              <w:rPr>
                <w:rFonts w:hint="eastAsia" w:ascii="宋体" w:hAnsi="宋体"/>
                <w:color w:val="000000"/>
                <w:szCs w:val="21"/>
              </w:rPr>
              <w:t>第2周</w:t>
            </w:r>
          </w:p>
        </w:tc>
        <w:tc>
          <w:tcPr>
            <w:tcW w:w="4857" w:type="dxa"/>
            <w:tcBorders>
              <w:top w:val="nil"/>
              <w:left w:val="nil"/>
              <w:bottom w:val="single" w:color="auto" w:sz="4" w:space="0"/>
              <w:right w:val="single" w:color="auto" w:sz="4" w:space="0"/>
            </w:tcBorders>
            <w:vAlign w:val="center"/>
          </w:tcPr>
          <w:p w14:paraId="0B10201C">
            <w:pPr>
              <w:spacing w:line="400" w:lineRule="exact"/>
              <w:rPr>
                <w:rFonts w:hint="eastAsia" w:ascii="宋体" w:hAnsi="宋体" w:cs="宋体" w:eastAsiaTheme="minorEastAsia"/>
                <w:color w:val="000000"/>
                <w:szCs w:val="21"/>
                <w:lang w:eastAsia="zh-CN"/>
              </w:rPr>
            </w:pPr>
            <w:r>
              <w:rPr>
                <w:rFonts w:hint="eastAsia" w:ascii="宋体" w:hAnsi="宋体" w:cs="宋体"/>
                <w:color w:val="000000"/>
                <w:szCs w:val="21"/>
                <w:lang w:eastAsia="zh-CN"/>
              </w:rPr>
              <w:t>教研组长、备课组长会议；</w:t>
            </w:r>
          </w:p>
          <w:p w14:paraId="54455FDB">
            <w:pPr>
              <w:spacing w:line="400" w:lineRule="exact"/>
              <w:rPr>
                <w:rFonts w:hint="default" w:ascii="宋体" w:hAnsi="宋体" w:cs="宋体" w:eastAsiaTheme="minorEastAsia"/>
                <w:color w:val="000000"/>
                <w:szCs w:val="21"/>
                <w:lang w:val="en-US" w:eastAsia="zh-CN"/>
              </w:rPr>
            </w:pPr>
            <w:r>
              <w:rPr>
                <w:rFonts w:hint="eastAsia" w:ascii="宋体" w:hAnsi="宋体" w:cs="宋体"/>
                <w:color w:val="000000"/>
                <w:szCs w:val="21"/>
              </w:rPr>
              <w:t>教学计划</w:t>
            </w:r>
            <w:r>
              <w:rPr>
                <w:rFonts w:hint="eastAsia" w:ascii="宋体" w:hAnsi="宋体" w:cs="宋体"/>
                <w:color w:val="000000"/>
                <w:szCs w:val="21"/>
                <w:lang w:eastAsia="zh-CN"/>
              </w:rPr>
              <w:t>制定</w:t>
            </w:r>
            <w:r>
              <w:rPr>
                <w:rFonts w:hint="eastAsia" w:ascii="宋体" w:hAnsi="宋体" w:cs="宋体"/>
                <w:color w:val="000000"/>
                <w:szCs w:val="21"/>
              </w:rPr>
              <w:t>；</w:t>
            </w:r>
            <w:r>
              <w:rPr>
                <w:rFonts w:hint="eastAsia" w:ascii="宋体" w:hAnsi="宋体" w:cs="宋体"/>
                <w:color w:val="000000"/>
                <w:szCs w:val="21"/>
                <w:lang w:eastAsia="zh-CN"/>
              </w:rPr>
              <w:t>（</w:t>
            </w:r>
            <w:r>
              <w:rPr>
                <w:rFonts w:hint="eastAsia" w:ascii="宋体" w:hAnsi="宋体" w:cs="宋体"/>
                <w:color w:val="000000"/>
                <w:szCs w:val="21"/>
              </w:rPr>
              <w:t>包括备课组活动计划</w:t>
            </w:r>
            <w:r>
              <w:rPr>
                <w:rFonts w:hint="eastAsia" w:ascii="宋体" w:hAnsi="宋体" w:cs="宋体"/>
                <w:color w:val="000000"/>
                <w:szCs w:val="21"/>
                <w:lang w:eastAsia="zh-CN"/>
              </w:rPr>
              <w:t>）</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noWrap/>
          </w:tcPr>
          <w:p w14:paraId="319D5F36">
            <w:pPr>
              <w:spacing w:line="400" w:lineRule="exact"/>
              <w:rPr>
                <w:rFonts w:ascii="宋体" w:hAnsi="宋体" w:cs="宋体"/>
                <w:color w:val="000000"/>
                <w:szCs w:val="21"/>
              </w:rPr>
            </w:pPr>
            <w:r>
              <w:rPr>
                <w:rFonts w:hint="eastAsia" w:ascii="宋体" w:hAnsi="宋体" w:cs="宋体"/>
                <w:color w:val="000000"/>
                <w:szCs w:val="21"/>
              </w:rPr>
              <w:t>教研组、备课组；</w:t>
            </w:r>
          </w:p>
          <w:p w14:paraId="47E49934">
            <w:pPr>
              <w:spacing w:line="400" w:lineRule="exact"/>
              <w:rPr>
                <w:rFonts w:ascii="宋体" w:hAnsi="宋体" w:cs="宋体"/>
                <w:color w:val="000000"/>
                <w:szCs w:val="21"/>
              </w:rPr>
            </w:pPr>
            <w:r>
              <w:rPr>
                <w:rFonts w:hint="eastAsia" w:ascii="宋体" w:hAnsi="宋体" w:cs="宋体"/>
                <w:color w:val="000000"/>
                <w:szCs w:val="21"/>
              </w:rPr>
              <w:t>教导处</w:t>
            </w:r>
            <w:r>
              <w:rPr>
                <w:rFonts w:ascii="宋体" w:hAnsi="宋体" w:cs="宋体"/>
                <w:color w:val="000000"/>
                <w:szCs w:val="21"/>
              </w:rPr>
              <w:t>；</w:t>
            </w:r>
          </w:p>
        </w:tc>
      </w:tr>
      <w:tr w14:paraId="7E1B5D0C">
        <w:tblPrEx>
          <w:tblCellMar>
            <w:top w:w="0" w:type="dxa"/>
            <w:left w:w="108" w:type="dxa"/>
            <w:bottom w:w="0" w:type="dxa"/>
            <w:right w:w="108" w:type="dxa"/>
          </w:tblCellMar>
        </w:tblPrEx>
        <w:trPr>
          <w:trHeight w:val="589" w:hRule="atLeast"/>
          <w:jc w:val="center"/>
        </w:trPr>
        <w:tc>
          <w:tcPr>
            <w:tcW w:w="1284" w:type="dxa"/>
            <w:tcBorders>
              <w:top w:val="nil"/>
              <w:left w:val="single" w:color="auto" w:sz="4" w:space="0"/>
              <w:bottom w:val="single" w:color="auto" w:sz="4" w:space="0"/>
              <w:right w:val="single" w:color="auto" w:sz="4" w:space="0"/>
            </w:tcBorders>
            <w:noWrap/>
            <w:vAlign w:val="center"/>
          </w:tcPr>
          <w:p w14:paraId="10133161">
            <w:pPr>
              <w:spacing w:line="400" w:lineRule="exact"/>
              <w:jc w:val="center"/>
              <w:rPr>
                <w:rFonts w:ascii="宋体" w:hAnsi="宋体" w:cs="宋体"/>
                <w:color w:val="000000"/>
                <w:szCs w:val="21"/>
              </w:rPr>
            </w:pPr>
            <w:r>
              <w:rPr>
                <w:rFonts w:hint="eastAsia" w:ascii="宋体" w:hAnsi="宋体"/>
                <w:color w:val="000000"/>
                <w:szCs w:val="21"/>
              </w:rPr>
              <w:t>第3周</w:t>
            </w:r>
          </w:p>
        </w:tc>
        <w:tc>
          <w:tcPr>
            <w:tcW w:w="4857" w:type="dxa"/>
            <w:tcBorders>
              <w:top w:val="nil"/>
              <w:left w:val="nil"/>
              <w:bottom w:val="single" w:color="auto" w:sz="4" w:space="0"/>
              <w:right w:val="single" w:color="auto" w:sz="4" w:space="0"/>
            </w:tcBorders>
            <w:vAlign w:val="center"/>
          </w:tcPr>
          <w:p w14:paraId="103BC75F">
            <w:pPr>
              <w:spacing w:line="400" w:lineRule="exact"/>
              <w:rPr>
                <w:rFonts w:hint="eastAsia" w:ascii="宋体" w:hAnsi="宋体" w:cs="宋体"/>
                <w:color w:val="000000"/>
                <w:szCs w:val="21"/>
              </w:rPr>
            </w:pPr>
            <w:r>
              <w:rPr>
                <w:rFonts w:hint="eastAsia" w:ascii="宋体" w:hAnsi="宋体" w:cs="宋体"/>
                <w:color w:val="000000"/>
                <w:szCs w:val="21"/>
              </w:rPr>
              <w:t>教研组活动</w:t>
            </w:r>
            <w:r>
              <w:rPr>
                <w:rFonts w:hint="eastAsia" w:ascii="宋体" w:hAnsi="宋体" w:cs="宋体"/>
                <w:color w:val="000000"/>
                <w:szCs w:val="21"/>
                <w:lang w:eastAsia="zh-CN"/>
              </w:rPr>
              <w:t>；</w:t>
            </w:r>
            <w:r>
              <w:rPr>
                <w:rFonts w:ascii="宋体" w:hAnsi="宋体" w:cs="宋体"/>
                <w:color w:val="000000"/>
                <w:szCs w:val="21"/>
              </w:rPr>
              <w:t>备课组活动</w:t>
            </w:r>
            <w:r>
              <w:rPr>
                <w:rFonts w:hint="eastAsia" w:ascii="宋体" w:hAnsi="宋体" w:cs="宋体"/>
                <w:color w:val="000000"/>
                <w:szCs w:val="21"/>
              </w:rPr>
              <w:t>；</w:t>
            </w:r>
          </w:p>
          <w:p w14:paraId="3910B330">
            <w:pPr>
              <w:spacing w:line="400" w:lineRule="exact"/>
              <w:rPr>
                <w:rFonts w:hint="eastAsia" w:ascii="宋体" w:hAnsi="宋体" w:cs="宋体"/>
                <w:color w:val="000000"/>
                <w:szCs w:val="21"/>
                <w:lang w:eastAsia="zh-CN"/>
              </w:rPr>
            </w:pPr>
            <w:r>
              <w:rPr>
                <w:rFonts w:hint="eastAsia" w:ascii="宋体" w:hAnsi="宋体" w:cs="宋体"/>
                <w:color w:val="000000"/>
                <w:szCs w:val="21"/>
                <w:lang w:eastAsia="zh-CN"/>
              </w:rPr>
              <w:t>教学计划检查；</w:t>
            </w:r>
          </w:p>
          <w:p w14:paraId="6182CE88">
            <w:pPr>
              <w:spacing w:line="400" w:lineRule="exact"/>
              <w:rPr>
                <w:rFonts w:hint="default" w:ascii="宋体" w:hAnsi="宋体" w:cs="宋体"/>
                <w:color w:val="000000"/>
                <w:szCs w:val="21"/>
                <w:lang w:val="en-US" w:eastAsia="zh-CN"/>
              </w:rPr>
            </w:pPr>
            <w:r>
              <w:rPr>
                <w:rFonts w:hint="eastAsia" w:ascii="宋体" w:hAnsi="宋体" w:cs="宋体"/>
                <w:color w:val="000000"/>
                <w:szCs w:val="21"/>
                <w:lang w:val="en-US" w:eastAsia="zh-CN"/>
              </w:rPr>
              <w:t>语文周活动；</w:t>
            </w:r>
          </w:p>
        </w:tc>
        <w:tc>
          <w:tcPr>
            <w:tcW w:w="2006" w:type="dxa"/>
            <w:tcBorders>
              <w:top w:val="nil"/>
              <w:left w:val="nil"/>
              <w:bottom w:val="single" w:color="auto" w:sz="4" w:space="0"/>
              <w:right w:val="single" w:color="auto" w:sz="4" w:space="0"/>
            </w:tcBorders>
          </w:tcPr>
          <w:p w14:paraId="2862534E">
            <w:pPr>
              <w:spacing w:line="400" w:lineRule="exact"/>
              <w:rPr>
                <w:rFonts w:ascii="宋体" w:hAnsi="宋体" w:cs="宋体"/>
                <w:color w:val="000000"/>
                <w:szCs w:val="21"/>
              </w:rPr>
            </w:pPr>
            <w:r>
              <w:rPr>
                <w:rFonts w:hint="eastAsia" w:ascii="宋体" w:hAnsi="宋体" w:cs="宋体"/>
                <w:color w:val="000000"/>
                <w:szCs w:val="21"/>
              </w:rPr>
              <w:t>教研组；</w:t>
            </w:r>
          </w:p>
          <w:p w14:paraId="3DD6E345">
            <w:pPr>
              <w:spacing w:line="400" w:lineRule="exact"/>
              <w:rPr>
                <w:rFonts w:ascii="宋体" w:hAnsi="宋体" w:cs="宋体"/>
                <w:color w:val="000000"/>
                <w:szCs w:val="21"/>
              </w:rPr>
            </w:pPr>
            <w:r>
              <w:rPr>
                <w:rFonts w:hint="eastAsia" w:ascii="宋体" w:hAnsi="宋体" w:cs="宋体"/>
                <w:color w:val="000000"/>
                <w:szCs w:val="21"/>
              </w:rPr>
              <w:t>教研组、备课组；</w:t>
            </w:r>
          </w:p>
        </w:tc>
      </w:tr>
      <w:tr w14:paraId="50D68BE3">
        <w:tblPrEx>
          <w:tblCellMar>
            <w:top w:w="0" w:type="dxa"/>
            <w:left w:w="108" w:type="dxa"/>
            <w:bottom w:w="0" w:type="dxa"/>
            <w:right w:w="108" w:type="dxa"/>
          </w:tblCellMar>
        </w:tblPrEx>
        <w:trPr>
          <w:trHeight w:val="278" w:hRule="atLeast"/>
          <w:jc w:val="center"/>
        </w:trPr>
        <w:tc>
          <w:tcPr>
            <w:tcW w:w="1284" w:type="dxa"/>
            <w:tcBorders>
              <w:top w:val="nil"/>
              <w:left w:val="single" w:color="auto" w:sz="4" w:space="0"/>
              <w:bottom w:val="single" w:color="auto" w:sz="4" w:space="0"/>
              <w:right w:val="single" w:color="auto" w:sz="4" w:space="0"/>
            </w:tcBorders>
            <w:noWrap/>
            <w:vAlign w:val="center"/>
          </w:tcPr>
          <w:p w14:paraId="58FFB6FB">
            <w:pPr>
              <w:spacing w:line="400" w:lineRule="exact"/>
              <w:jc w:val="center"/>
              <w:rPr>
                <w:rFonts w:ascii="宋体" w:hAnsi="宋体" w:cs="宋体"/>
                <w:color w:val="000000"/>
                <w:szCs w:val="21"/>
              </w:rPr>
            </w:pPr>
            <w:r>
              <w:rPr>
                <w:rFonts w:hint="eastAsia" w:ascii="宋体" w:hAnsi="宋体"/>
                <w:color w:val="000000"/>
                <w:szCs w:val="21"/>
              </w:rPr>
              <w:t>第4周</w:t>
            </w:r>
          </w:p>
        </w:tc>
        <w:tc>
          <w:tcPr>
            <w:tcW w:w="4857" w:type="dxa"/>
            <w:tcBorders>
              <w:top w:val="nil"/>
              <w:left w:val="nil"/>
              <w:bottom w:val="single" w:color="auto" w:sz="4" w:space="0"/>
              <w:right w:val="single" w:color="auto" w:sz="4" w:space="0"/>
            </w:tcBorders>
            <w:vAlign w:val="center"/>
          </w:tcPr>
          <w:p w14:paraId="2F4976B2">
            <w:pPr>
              <w:spacing w:line="400" w:lineRule="exact"/>
              <w:rPr>
                <w:rFonts w:ascii="宋体" w:hAnsi="宋体" w:cs="宋体"/>
                <w:color w:val="000000"/>
                <w:szCs w:val="21"/>
              </w:rPr>
            </w:pPr>
            <w:r>
              <w:rPr>
                <w:rFonts w:hint="eastAsia" w:ascii="宋体" w:hAnsi="宋体" w:cs="宋体"/>
                <w:color w:val="000000"/>
                <w:szCs w:val="21"/>
              </w:rPr>
              <w:t>教研组长上传</w:t>
            </w:r>
            <w:r>
              <w:rPr>
                <w:rFonts w:ascii="宋体" w:hAnsi="宋体" w:cs="宋体"/>
                <w:color w:val="000000"/>
                <w:szCs w:val="21"/>
              </w:rPr>
              <w:t>组内互观课安排表；</w:t>
            </w:r>
          </w:p>
          <w:p w14:paraId="627ABBEC">
            <w:pPr>
              <w:spacing w:line="400" w:lineRule="exact"/>
              <w:rPr>
                <w:rFonts w:ascii="宋体" w:hAnsi="宋体" w:cs="宋体"/>
                <w:color w:val="000000"/>
                <w:szCs w:val="21"/>
              </w:rPr>
            </w:pPr>
            <w:r>
              <w:rPr>
                <w:rFonts w:hint="eastAsia" w:ascii="宋体" w:hAnsi="宋体" w:cs="宋体"/>
                <w:color w:val="000000"/>
                <w:szCs w:val="21"/>
              </w:rPr>
              <w:t>课堂</w:t>
            </w:r>
            <w:r>
              <w:rPr>
                <w:rFonts w:ascii="宋体" w:hAnsi="宋体" w:cs="宋体"/>
                <w:color w:val="000000"/>
                <w:szCs w:val="21"/>
              </w:rPr>
              <w:t>教学模式推进实践课（</w:t>
            </w:r>
            <w:r>
              <w:rPr>
                <w:rFonts w:hint="eastAsia" w:ascii="宋体" w:hAnsi="宋体" w:cs="宋体"/>
                <w:color w:val="000000"/>
                <w:szCs w:val="21"/>
              </w:rPr>
              <w:t>随堂</w:t>
            </w:r>
            <w:r>
              <w:rPr>
                <w:rFonts w:ascii="宋体" w:hAnsi="宋体" w:cs="宋体"/>
                <w:color w:val="000000"/>
                <w:szCs w:val="21"/>
              </w:rPr>
              <w:t>听课）</w:t>
            </w:r>
            <w:r>
              <w:rPr>
                <w:rFonts w:hint="eastAsia" w:ascii="宋体" w:hAnsi="宋体" w:cs="宋体"/>
                <w:color w:val="000000"/>
                <w:szCs w:val="21"/>
              </w:rPr>
              <w:t>开始；</w:t>
            </w:r>
          </w:p>
        </w:tc>
        <w:tc>
          <w:tcPr>
            <w:tcW w:w="2006" w:type="dxa"/>
            <w:tcBorders>
              <w:top w:val="nil"/>
              <w:left w:val="nil"/>
              <w:bottom w:val="single" w:color="auto" w:sz="4" w:space="0"/>
              <w:right w:val="single" w:color="auto" w:sz="4" w:space="0"/>
            </w:tcBorders>
          </w:tcPr>
          <w:p w14:paraId="6AF9BB79">
            <w:pPr>
              <w:spacing w:line="400" w:lineRule="exact"/>
              <w:rPr>
                <w:rFonts w:ascii="宋体" w:hAnsi="宋体" w:cs="宋体"/>
                <w:color w:val="000000"/>
                <w:szCs w:val="21"/>
              </w:rPr>
            </w:pPr>
            <w:r>
              <w:rPr>
                <w:rFonts w:hint="eastAsia" w:ascii="宋体" w:hAnsi="宋体" w:cs="宋体"/>
                <w:color w:val="000000"/>
                <w:szCs w:val="21"/>
              </w:rPr>
              <w:t>备课组；</w:t>
            </w:r>
          </w:p>
          <w:p w14:paraId="4DA574D8">
            <w:pPr>
              <w:rPr>
                <w:rFonts w:ascii="宋体" w:hAnsi="宋体" w:cs="宋体"/>
                <w:szCs w:val="21"/>
              </w:rPr>
            </w:pPr>
            <w:r>
              <w:rPr>
                <w:rFonts w:hint="eastAsia" w:ascii="宋体" w:hAnsi="宋体" w:cs="宋体"/>
                <w:szCs w:val="21"/>
              </w:rPr>
              <w:t>教研组</w:t>
            </w:r>
            <w:r>
              <w:rPr>
                <w:rFonts w:ascii="宋体" w:hAnsi="宋体" w:cs="宋体"/>
                <w:szCs w:val="21"/>
              </w:rPr>
              <w:t>；</w:t>
            </w:r>
          </w:p>
        </w:tc>
      </w:tr>
      <w:tr w14:paraId="1DA3B108">
        <w:tblPrEx>
          <w:tblCellMar>
            <w:top w:w="0" w:type="dxa"/>
            <w:left w:w="108" w:type="dxa"/>
            <w:bottom w:w="0" w:type="dxa"/>
            <w:right w:w="108" w:type="dxa"/>
          </w:tblCellMar>
        </w:tblPrEx>
        <w:trPr>
          <w:trHeight w:val="485" w:hRule="atLeast"/>
          <w:jc w:val="center"/>
        </w:trPr>
        <w:tc>
          <w:tcPr>
            <w:tcW w:w="1284" w:type="dxa"/>
            <w:tcBorders>
              <w:top w:val="nil"/>
              <w:left w:val="single" w:color="auto" w:sz="4" w:space="0"/>
              <w:bottom w:val="single" w:color="auto" w:sz="4" w:space="0"/>
              <w:right w:val="single" w:color="auto" w:sz="4" w:space="0"/>
            </w:tcBorders>
            <w:noWrap/>
            <w:vAlign w:val="center"/>
          </w:tcPr>
          <w:p w14:paraId="59D5EB05">
            <w:pPr>
              <w:spacing w:line="400" w:lineRule="exact"/>
              <w:jc w:val="center"/>
              <w:rPr>
                <w:rFonts w:ascii="宋体" w:hAnsi="宋体"/>
                <w:color w:val="000000"/>
                <w:szCs w:val="21"/>
              </w:rPr>
            </w:pPr>
            <w:r>
              <w:rPr>
                <w:rFonts w:hint="eastAsia" w:ascii="宋体" w:hAnsi="宋体"/>
                <w:color w:val="000000"/>
                <w:szCs w:val="21"/>
              </w:rPr>
              <w:t>第5周</w:t>
            </w:r>
          </w:p>
        </w:tc>
        <w:tc>
          <w:tcPr>
            <w:tcW w:w="4857" w:type="dxa"/>
            <w:tcBorders>
              <w:top w:val="nil"/>
              <w:left w:val="nil"/>
              <w:bottom w:val="single" w:color="auto" w:sz="4" w:space="0"/>
              <w:right w:val="single" w:color="auto" w:sz="4" w:space="0"/>
            </w:tcBorders>
            <w:vAlign w:val="center"/>
          </w:tcPr>
          <w:p w14:paraId="7E51009B">
            <w:pPr>
              <w:spacing w:line="400" w:lineRule="exact"/>
              <w:rPr>
                <w:rFonts w:hint="eastAsia" w:ascii="宋体" w:hAnsi="宋体" w:cs="宋体"/>
                <w:color w:val="000000"/>
                <w:szCs w:val="21"/>
                <w:lang w:eastAsia="zh-CN"/>
              </w:rPr>
            </w:pPr>
            <w:r>
              <w:rPr>
                <w:rFonts w:hint="eastAsia" w:ascii="宋体" w:hAnsi="宋体" w:cs="宋体"/>
                <w:color w:val="000000"/>
                <w:szCs w:val="21"/>
                <w:lang w:eastAsia="zh-CN"/>
              </w:rPr>
              <w:t>第一次备课检查；</w:t>
            </w:r>
          </w:p>
          <w:p w14:paraId="5972E7A6">
            <w:pPr>
              <w:spacing w:line="400" w:lineRule="exact"/>
              <w:rPr>
                <w:rFonts w:hint="default" w:ascii="宋体" w:hAnsi="宋体" w:cs="宋体" w:eastAsiaTheme="minorEastAsia"/>
                <w:color w:val="000000"/>
                <w:szCs w:val="21"/>
                <w:lang w:val="en-US" w:eastAsia="zh-CN"/>
              </w:rPr>
            </w:pPr>
            <w:r>
              <w:rPr>
                <w:rFonts w:hint="eastAsia" w:ascii="宋体" w:hAnsi="宋体" w:cs="宋体"/>
                <w:color w:val="000000"/>
                <w:szCs w:val="21"/>
                <w:lang w:val="en-US" w:eastAsia="zh-CN"/>
              </w:rPr>
              <w:t>素养导向</w:t>
            </w:r>
            <w:r>
              <w:rPr>
                <w:rFonts w:hint="eastAsia" w:ascii="宋体" w:hAnsi="宋体" w:cs="宋体"/>
                <w:color w:val="000000"/>
                <w:szCs w:val="21"/>
                <w:lang w:eastAsia="zh-CN"/>
              </w:rPr>
              <w:t>的课型研究</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tcPr>
          <w:p w14:paraId="0522C9B3">
            <w:pPr>
              <w:spacing w:line="400" w:lineRule="exact"/>
              <w:rPr>
                <w:rFonts w:hint="eastAsia" w:ascii="宋体" w:hAnsi="宋体" w:cs="宋体"/>
                <w:color w:val="000000"/>
                <w:szCs w:val="21"/>
                <w:lang w:val="en-US" w:eastAsia="zh-CN"/>
              </w:rPr>
            </w:pPr>
            <w:r>
              <w:rPr>
                <w:rFonts w:hint="eastAsia" w:ascii="宋体" w:hAnsi="宋体" w:cs="宋体"/>
                <w:color w:val="000000"/>
                <w:szCs w:val="21"/>
                <w:lang w:val="en-US" w:eastAsia="zh-CN"/>
              </w:rPr>
              <w:t>备课组；</w:t>
            </w:r>
          </w:p>
          <w:p w14:paraId="309060D9">
            <w:pPr>
              <w:spacing w:line="400" w:lineRule="exact"/>
              <w:rPr>
                <w:rFonts w:hint="eastAsia" w:ascii="宋体" w:hAnsi="宋体" w:cs="宋体"/>
                <w:color w:val="000000"/>
                <w:szCs w:val="21"/>
                <w:lang w:val="en-US" w:eastAsia="zh-CN"/>
              </w:rPr>
            </w:pPr>
            <w:r>
              <w:rPr>
                <w:rFonts w:hint="eastAsia" w:ascii="宋体" w:hAnsi="宋体" w:cs="宋体"/>
                <w:color w:val="000000"/>
                <w:szCs w:val="21"/>
                <w:lang w:val="en-US" w:eastAsia="zh-CN"/>
              </w:rPr>
              <w:t>教研组；</w:t>
            </w:r>
          </w:p>
          <w:p w14:paraId="6838F9D1">
            <w:pPr>
              <w:spacing w:line="400" w:lineRule="exact"/>
              <w:rPr>
                <w:rFonts w:hint="default" w:ascii="宋体" w:hAnsi="宋体" w:cs="宋体"/>
                <w:color w:val="000000"/>
                <w:szCs w:val="21"/>
                <w:lang w:val="en-US" w:eastAsia="zh-CN"/>
              </w:rPr>
            </w:pPr>
            <w:r>
              <w:rPr>
                <w:rFonts w:hint="eastAsia" w:ascii="宋体" w:hAnsi="宋体" w:cs="宋体"/>
                <w:color w:val="000000"/>
                <w:szCs w:val="21"/>
                <w:lang w:val="en-US" w:eastAsia="zh-CN"/>
              </w:rPr>
              <w:t>教导处</w:t>
            </w:r>
          </w:p>
        </w:tc>
      </w:tr>
      <w:tr w14:paraId="37F636AE">
        <w:tblPrEx>
          <w:tblCellMar>
            <w:top w:w="0" w:type="dxa"/>
            <w:left w:w="108" w:type="dxa"/>
            <w:bottom w:w="0" w:type="dxa"/>
            <w:right w:w="108" w:type="dxa"/>
          </w:tblCellMar>
        </w:tblPrEx>
        <w:trPr>
          <w:trHeight w:val="90" w:hRule="atLeast"/>
          <w:jc w:val="center"/>
        </w:trPr>
        <w:tc>
          <w:tcPr>
            <w:tcW w:w="1284" w:type="dxa"/>
            <w:tcBorders>
              <w:top w:val="nil"/>
              <w:left w:val="single" w:color="auto" w:sz="4" w:space="0"/>
              <w:bottom w:val="single" w:color="auto" w:sz="4" w:space="0"/>
              <w:right w:val="single" w:color="auto" w:sz="4" w:space="0"/>
            </w:tcBorders>
            <w:noWrap/>
            <w:vAlign w:val="center"/>
          </w:tcPr>
          <w:p w14:paraId="7281C4F0">
            <w:pPr>
              <w:spacing w:line="400" w:lineRule="exact"/>
              <w:jc w:val="center"/>
              <w:rPr>
                <w:rFonts w:ascii="宋体" w:hAnsi="宋体"/>
                <w:color w:val="000000"/>
                <w:szCs w:val="21"/>
              </w:rPr>
            </w:pPr>
            <w:r>
              <w:rPr>
                <w:rFonts w:hint="eastAsia" w:ascii="宋体" w:hAnsi="宋体"/>
                <w:color w:val="000000"/>
                <w:szCs w:val="21"/>
              </w:rPr>
              <w:t>第6周</w:t>
            </w:r>
          </w:p>
        </w:tc>
        <w:tc>
          <w:tcPr>
            <w:tcW w:w="4857" w:type="dxa"/>
            <w:tcBorders>
              <w:top w:val="nil"/>
              <w:left w:val="nil"/>
              <w:bottom w:val="single" w:color="auto" w:sz="4" w:space="0"/>
              <w:right w:val="single" w:color="auto" w:sz="4" w:space="0"/>
            </w:tcBorders>
            <w:vAlign w:val="center"/>
          </w:tcPr>
          <w:p w14:paraId="2292EAF6">
            <w:pPr>
              <w:spacing w:line="400" w:lineRule="exact"/>
              <w:rPr>
                <w:rFonts w:ascii="宋体" w:hAnsi="宋体" w:cs="宋体"/>
                <w:color w:val="000000"/>
                <w:szCs w:val="21"/>
              </w:rPr>
            </w:pPr>
            <w:r>
              <w:rPr>
                <w:rFonts w:hint="eastAsia" w:ascii="宋体" w:hAnsi="宋体" w:cs="宋体"/>
                <w:color w:val="000000"/>
                <w:szCs w:val="21"/>
                <w:lang w:val="en-US" w:eastAsia="zh-CN"/>
              </w:rPr>
              <w:t>素养导向</w:t>
            </w:r>
            <w:r>
              <w:rPr>
                <w:rFonts w:hint="eastAsia" w:ascii="宋体" w:hAnsi="宋体" w:cs="宋体"/>
                <w:color w:val="000000"/>
                <w:szCs w:val="21"/>
                <w:lang w:eastAsia="zh-CN"/>
              </w:rPr>
              <w:t>的课型研究</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tcPr>
          <w:p w14:paraId="5572DF5E">
            <w:pPr>
              <w:spacing w:line="400" w:lineRule="exact"/>
              <w:rPr>
                <w:rFonts w:ascii="宋体" w:hAnsi="宋体" w:cs="宋体"/>
                <w:color w:val="000000"/>
                <w:szCs w:val="21"/>
              </w:rPr>
            </w:pPr>
            <w:r>
              <w:rPr>
                <w:rFonts w:hint="eastAsia" w:ascii="宋体" w:hAnsi="宋体" w:cs="宋体"/>
                <w:color w:val="000000"/>
                <w:szCs w:val="21"/>
              </w:rPr>
              <w:t>教导处；</w:t>
            </w:r>
          </w:p>
        </w:tc>
      </w:tr>
      <w:tr w14:paraId="40A6AFBC">
        <w:tblPrEx>
          <w:tblCellMar>
            <w:top w:w="0" w:type="dxa"/>
            <w:left w:w="108" w:type="dxa"/>
            <w:bottom w:w="0" w:type="dxa"/>
            <w:right w:w="108" w:type="dxa"/>
          </w:tblCellMar>
        </w:tblPrEx>
        <w:trPr>
          <w:trHeight w:val="274" w:hRule="atLeast"/>
          <w:jc w:val="center"/>
        </w:trPr>
        <w:tc>
          <w:tcPr>
            <w:tcW w:w="1284" w:type="dxa"/>
            <w:tcBorders>
              <w:top w:val="nil"/>
              <w:left w:val="single" w:color="auto" w:sz="4" w:space="0"/>
              <w:bottom w:val="single" w:color="auto" w:sz="4" w:space="0"/>
              <w:right w:val="single" w:color="auto" w:sz="4" w:space="0"/>
            </w:tcBorders>
            <w:noWrap/>
            <w:vAlign w:val="center"/>
          </w:tcPr>
          <w:p w14:paraId="5C94A612">
            <w:pPr>
              <w:spacing w:line="400" w:lineRule="exact"/>
              <w:jc w:val="center"/>
              <w:rPr>
                <w:rFonts w:ascii="宋体" w:hAnsi="宋体" w:cs="宋体"/>
                <w:color w:val="000000"/>
                <w:szCs w:val="21"/>
              </w:rPr>
            </w:pPr>
            <w:r>
              <w:rPr>
                <w:rFonts w:hint="eastAsia" w:ascii="宋体" w:hAnsi="宋体"/>
                <w:color w:val="000000"/>
                <w:szCs w:val="21"/>
              </w:rPr>
              <w:t>第7周</w:t>
            </w:r>
          </w:p>
        </w:tc>
        <w:tc>
          <w:tcPr>
            <w:tcW w:w="4857" w:type="dxa"/>
            <w:tcBorders>
              <w:top w:val="nil"/>
              <w:left w:val="nil"/>
              <w:bottom w:val="single" w:color="auto" w:sz="4" w:space="0"/>
              <w:right w:val="single" w:color="auto" w:sz="4" w:space="0"/>
            </w:tcBorders>
            <w:vAlign w:val="center"/>
          </w:tcPr>
          <w:p w14:paraId="7DF02B2D">
            <w:pPr>
              <w:spacing w:line="400" w:lineRule="exact"/>
              <w:rPr>
                <w:rFonts w:ascii="宋体" w:hAnsi="宋体" w:cs="宋体"/>
                <w:color w:val="000000"/>
                <w:szCs w:val="21"/>
              </w:rPr>
            </w:pPr>
            <w:r>
              <w:rPr>
                <w:rFonts w:hint="eastAsia" w:ascii="宋体" w:hAnsi="宋体" w:cs="宋体"/>
                <w:color w:val="000000"/>
                <w:szCs w:val="21"/>
              </w:rPr>
              <w:t>第一次学生作业检查；</w:t>
            </w:r>
          </w:p>
          <w:p w14:paraId="38FD1601">
            <w:pPr>
              <w:spacing w:line="400" w:lineRule="exact"/>
              <w:rPr>
                <w:rFonts w:hint="eastAsia" w:ascii="宋体" w:hAnsi="宋体" w:cs="宋体" w:eastAsiaTheme="minorEastAsia"/>
                <w:color w:val="000000"/>
                <w:szCs w:val="21"/>
                <w:lang w:eastAsia="zh-CN"/>
              </w:rPr>
            </w:pPr>
            <w:r>
              <w:rPr>
                <w:rFonts w:hint="eastAsia" w:ascii="宋体" w:hAnsi="宋体" w:cs="宋体"/>
                <w:color w:val="000000"/>
                <w:szCs w:val="21"/>
              </w:rPr>
              <w:t>教研组活动、</w:t>
            </w:r>
            <w:r>
              <w:rPr>
                <w:rFonts w:ascii="宋体" w:hAnsi="宋体" w:cs="宋体"/>
                <w:color w:val="000000"/>
                <w:szCs w:val="21"/>
              </w:rPr>
              <w:t>备课组活动</w:t>
            </w:r>
            <w:r>
              <w:rPr>
                <w:rFonts w:hint="eastAsia" w:ascii="宋体" w:hAnsi="宋体" w:cs="宋体"/>
                <w:color w:val="000000"/>
                <w:szCs w:val="21"/>
                <w:lang w:eastAsia="zh-CN"/>
              </w:rPr>
              <w:t>；</w:t>
            </w:r>
          </w:p>
        </w:tc>
        <w:tc>
          <w:tcPr>
            <w:tcW w:w="2006" w:type="dxa"/>
            <w:tcBorders>
              <w:top w:val="nil"/>
              <w:left w:val="nil"/>
              <w:bottom w:val="single" w:color="auto" w:sz="4" w:space="0"/>
              <w:right w:val="single" w:color="auto" w:sz="4" w:space="0"/>
            </w:tcBorders>
          </w:tcPr>
          <w:p w14:paraId="143D2A77">
            <w:pPr>
              <w:spacing w:line="400" w:lineRule="exact"/>
              <w:rPr>
                <w:rFonts w:ascii="宋体" w:hAnsi="宋体" w:cs="宋体"/>
                <w:color w:val="000000"/>
                <w:szCs w:val="21"/>
              </w:rPr>
            </w:pPr>
            <w:r>
              <w:rPr>
                <w:rFonts w:hint="eastAsia" w:ascii="宋体" w:hAnsi="宋体" w:cs="宋体"/>
                <w:color w:val="000000"/>
                <w:szCs w:val="21"/>
              </w:rPr>
              <w:t>教研组</w:t>
            </w:r>
            <w:r>
              <w:rPr>
                <w:rFonts w:ascii="宋体" w:hAnsi="宋体" w:cs="宋体"/>
                <w:color w:val="000000"/>
                <w:szCs w:val="21"/>
              </w:rPr>
              <w:t>；</w:t>
            </w:r>
          </w:p>
          <w:p w14:paraId="4BC265A0">
            <w:pPr>
              <w:spacing w:line="400" w:lineRule="exact"/>
              <w:rPr>
                <w:rFonts w:ascii="宋体" w:hAnsi="宋体" w:cs="宋体"/>
                <w:color w:val="000000"/>
                <w:szCs w:val="21"/>
              </w:rPr>
            </w:pPr>
            <w:r>
              <w:rPr>
                <w:rFonts w:hint="eastAsia" w:ascii="宋体" w:hAnsi="宋体" w:cs="宋体"/>
                <w:color w:val="000000"/>
                <w:szCs w:val="21"/>
              </w:rPr>
              <w:t>备课组；</w:t>
            </w:r>
          </w:p>
        </w:tc>
      </w:tr>
      <w:tr w14:paraId="03F8E594">
        <w:tblPrEx>
          <w:tblCellMar>
            <w:top w:w="0" w:type="dxa"/>
            <w:left w:w="108" w:type="dxa"/>
            <w:bottom w:w="0" w:type="dxa"/>
            <w:right w:w="108" w:type="dxa"/>
          </w:tblCellMar>
        </w:tblPrEx>
        <w:trPr>
          <w:trHeight w:val="285" w:hRule="atLeast"/>
          <w:jc w:val="center"/>
        </w:trPr>
        <w:tc>
          <w:tcPr>
            <w:tcW w:w="1284" w:type="dxa"/>
            <w:tcBorders>
              <w:top w:val="nil"/>
              <w:left w:val="single" w:color="auto" w:sz="4" w:space="0"/>
              <w:bottom w:val="single" w:color="auto" w:sz="4" w:space="0"/>
              <w:right w:val="single" w:color="auto" w:sz="4" w:space="0"/>
            </w:tcBorders>
            <w:noWrap/>
            <w:vAlign w:val="center"/>
          </w:tcPr>
          <w:p w14:paraId="1CA7261A">
            <w:pPr>
              <w:spacing w:line="400" w:lineRule="exact"/>
              <w:jc w:val="center"/>
              <w:rPr>
                <w:rFonts w:ascii="宋体" w:hAnsi="宋体" w:cs="宋体"/>
                <w:color w:val="000000"/>
                <w:szCs w:val="21"/>
              </w:rPr>
            </w:pPr>
            <w:r>
              <w:rPr>
                <w:rFonts w:hint="eastAsia" w:ascii="宋体" w:hAnsi="宋体"/>
                <w:color w:val="000000"/>
                <w:szCs w:val="21"/>
              </w:rPr>
              <w:t>第8周</w:t>
            </w:r>
          </w:p>
        </w:tc>
        <w:tc>
          <w:tcPr>
            <w:tcW w:w="4857" w:type="dxa"/>
            <w:tcBorders>
              <w:top w:val="nil"/>
              <w:left w:val="nil"/>
              <w:bottom w:val="single" w:color="auto" w:sz="4" w:space="0"/>
              <w:right w:val="single" w:color="auto" w:sz="4" w:space="0"/>
            </w:tcBorders>
            <w:vAlign w:val="center"/>
          </w:tcPr>
          <w:p w14:paraId="3CFE312F">
            <w:pPr>
              <w:spacing w:line="400" w:lineRule="exact"/>
              <w:rPr>
                <w:rFonts w:ascii="宋体" w:hAnsi="宋体" w:cs="宋体"/>
                <w:color w:val="000000"/>
                <w:szCs w:val="21"/>
              </w:rPr>
            </w:pPr>
            <w:r>
              <w:rPr>
                <w:rFonts w:hint="eastAsia" w:ascii="宋体" w:hAnsi="宋体" w:cs="宋体"/>
                <w:color w:val="000000"/>
                <w:szCs w:val="21"/>
                <w:lang w:val="en-US" w:eastAsia="zh-CN"/>
              </w:rPr>
              <w:t>素养导向</w:t>
            </w:r>
            <w:r>
              <w:rPr>
                <w:rFonts w:hint="eastAsia" w:ascii="宋体" w:hAnsi="宋体" w:cs="宋体"/>
                <w:color w:val="000000"/>
                <w:szCs w:val="21"/>
                <w:lang w:eastAsia="zh-CN"/>
              </w:rPr>
              <w:t>的课型研究</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vAlign w:val="center"/>
          </w:tcPr>
          <w:p w14:paraId="7D9DEA02">
            <w:pPr>
              <w:spacing w:line="400" w:lineRule="exact"/>
              <w:rPr>
                <w:rFonts w:ascii="宋体" w:hAnsi="宋体" w:cs="宋体"/>
                <w:color w:val="000000"/>
                <w:szCs w:val="21"/>
              </w:rPr>
            </w:pPr>
            <w:r>
              <w:rPr>
                <w:rFonts w:hint="eastAsia" w:ascii="宋体" w:hAnsi="宋体" w:cs="宋体"/>
                <w:color w:val="000000"/>
                <w:szCs w:val="21"/>
              </w:rPr>
              <w:t>教研组；</w:t>
            </w:r>
          </w:p>
        </w:tc>
      </w:tr>
      <w:tr w14:paraId="1659A063">
        <w:tblPrEx>
          <w:tblCellMar>
            <w:top w:w="0" w:type="dxa"/>
            <w:left w:w="108" w:type="dxa"/>
            <w:bottom w:w="0" w:type="dxa"/>
            <w:right w:w="108" w:type="dxa"/>
          </w:tblCellMar>
        </w:tblPrEx>
        <w:trPr>
          <w:trHeight w:val="299" w:hRule="atLeast"/>
          <w:jc w:val="center"/>
        </w:trPr>
        <w:tc>
          <w:tcPr>
            <w:tcW w:w="1284" w:type="dxa"/>
            <w:tcBorders>
              <w:top w:val="nil"/>
              <w:left w:val="single" w:color="auto" w:sz="4" w:space="0"/>
              <w:bottom w:val="single" w:color="auto" w:sz="4" w:space="0"/>
              <w:right w:val="single" w:color="auto" w:sz="4" w:space="0"/>
            </w:tcBorders>
            <w:noWrap/>
            <w:vAlign w:val="center"/>
          </w:tcPr>
          <w:p w14:paraId="07E1D935">
            <w:pPr>
              <w:spacing w:line="400" w:lineRule="exact"/>
              <w:jc w:val="center"/>
              <w:rPr>
                <w:rFonts w:ascii="宋体" w:hAnsi="宋体" w:cs="宋体"/>
                <w:color w:val="000000"/>
                <w:szCs w:val="21"/>
              </w:rPr>
            </w:pPr>
            <w:r>
              <w:rPr>
                <w:rFonts w:hint="eastAsia" w:ascii="宋体" w:hAnsi="宋体" w:cs="宋体"/>
                <w:color w:val="000000"/>
                <w:szCs w:val="21"/>
              </w:rPr>
              <w:t>第9周</w:t>
            </w:r>
          </w:p>
        </w:tc>
        <w:tc>
          <w:tcPr>
            <w:tcW w:w="4857" w:type="dxa"/>
            <w:tcBorders>
              <w:top w:val="nil"/>
              <w:left w:val="nil"/>
              <w:bottom w:val="single" w:color="auto" w:sz="4" w:space="0"/>
              <w:right w:val="single" w:color="auto" w:sz="4" w:space="0"/>
            </w:tcBorders>
            <w:vAlign w:val="center"/>
          </w:tcPr>
          <w:p w14:paraId="01130302">
            <w:pPr>
              <w:spacing w:line="400" w:lineRule="exact"/>
              <w:rPr>
                <w:rFonts w:ascii="宋体" w:hAnsi="宋体" w:cs="宋体"/>
                <w:color w:val="000000"/>
                <w:szCs w:val="21"/>
              </w:rPr>
            </w:pPr>
            <w:r>
              <w:rPr>
                <w:rFonts w:hint="eastAsia" w:ascii="宋体" w:hAnsi="宋体" w:cs="宋体"/>
                <w:color w:val="000000"/>
                <w:szCs w:val="21"/>
              </w:rPr>
              <w:t>备课组活动；</w:t>
            </w:r>
          </w:p>
        </w:tc>
        <w:tc>
          <w:tcPr>
            <w:tcW w:w="2006" w:type="dxa"/>
            <w:tcBorders>
              <w:top w:val="nil"/>
              <w:left w:val="nil"/>
              <w:bottom w:val="single" w:color="auto" w:sz="4" w:space="0"/>
              <w:right w:val="single" w:color="auto" w:sz="4" w:space="0"/>
            </w:tcBorders>
            <w:vAlign w:val="center"/>
          </w:tcPr>
          <w:p w14:paraId="67AA4D29">
            <w:pPr>
              <w:spacing w:line="400" w:lineRule="exact"/>
              <w:rPr>
                <w:rFonts w:ascii="宋体" w:hAnsi="宋体" w:cs="宋体"/>
                <w:color w:val="000000"/>
                <w:szCs w:val="21"/>
              </w:rPr>
            </w:pPr>
            <w:r>
              <w:rPr>
                <w:rFonts w:hint="eastAsia" w:ascii="宋体" w:hAnsi="宋体" w:cs="宋体"/>
                <w:color w:val="000000"/>
                <w:szCs w:val="21"/>
              </w:rPr>
              <w:t>备课组；</w:t>
            </w:r>
          </w:p>
        </w:tc>
      </w:tr>
      <w:tr w14:paraId="60128549">
        <w:tblPrEx>
          <w:tblCellMar>
            <w:top w:w="0" w:type="dxa"/>
            <w:left w:w="108" w:type="dxa"/>
            <w:bottom w:w="0" w:type="dxa"/>
            <w:right w:w="108" w:type="dxa"/>
          </w:tblCellMar>
        </w:tblPrEx>
        <w:trPr>
          <w:trHeight w:val="273" w:hRule="atLeast"/>
          <w:jc w:val="center"/>
        </w:trPr>
        <w:tc>
          <w:tcPr>
            <w:tcW w:w="1284" w:type="dxa"/>
            <w:tcBorders>
              <w:top w:val="nil"/>
              <w:left w:val="single" w:color="auto" w:sz="4" w:space="0"/>
              <w:bottom w:val="single" w:color="auto" w:sz="4" w:space="0"/>
              <w:right w:val="single" w:color="auto" w:sz="4" w:space="0"/>
            </w:tcBorders>
            <w:noWrap/>
            <w:vAlign w:val="center"/>
          </w:tcPr>
          <w:p w14:paraId="3421106A">
            <w:pPr>
              <w:spacing w:line="400" w:lineRule="exact"/>
              <w:jc w:val="center"/>
              <w:rPr>
                <w:rFonts w:ascii="宋体" w:hAnsi="宋体" w:cs="宋体"/>
                <w:color w:val="000000"/>
                <w:szCs w:val="21"/>
              </w:rPr>
            </w:pPr>
            <w:r>
              <w:rPr>
                <w:rFonts w:hint="eastAsia" w:ascii="宋体" w:hAnsi="宋体" w:cs="宋体"/>
                <w:color w:val="000000"/>
                <w:szCs w:val="21"/>
              </w:rPr>
              <w:t>第10周</w:t>
            </w:r>
          </w:p>
        </w:tc>
        <w:tc>
          <w:tcPr>
            <w:tcW w:w="4857" w:type="dxa"/>
            <w:tcBorders>
              <w:top w:val="nil"/>
              <w:left w:val="nil"/>
              <w:bottom w:val="single" w:color="auto" w:sz="4" w:space="0"/>
              <w:right w:val="single" w:color="auto" w:sz="4" w:space="0"/>
            </w:tcBorders>
            <w:vAlign w:val="center"/>
          </w:tcPr>
          <w:p w14:paraId="0BE0610B">
            <w:pPr>
              <w:spacing w:line="400" w:lineRule="exact"/>
              <w:rPr>
                <w:rFonts w:ascii="宋体" w:hAnsi="宋体" w:cs="宋体"/>
                <w:color w:val="000000"/>
                <w:szCs w:val="21"/>
              </w:rPr>
            </w:pPr>
            <w:r>
              <w:rPr>
                <w:rFonts w:hint="eastAsia" w:ascii="宋体" w:hAnsi="宋体" w:cs="宋体"/>
                <w:color w:val="000000"/>
                <w:szCs w:val="21"/>
                <w:lang w:val="en-US" w:eastAsia="zh-CN"/>
              </w:rPr>
              <w:t>素养导向</w:t>
            </w:r>
            <w:r>
              <w:rPr>
                <w:rFonts w:hint="eastAsia" w:ascii="宋体" w:hAnsi="宋体" w:cs="宋体"/>
                <w:color w:val="000000"/>
                <w:szCs w:val="21"/>
                <w:lang w:eastAsia="zh-CN"/>
              </w:rPr>
              <w:t>的课型研究</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tcPr>
          <w:p w14:paraId="42112580">
            <w:pPr>
              <w:spacing w:line="400" w:lineRule="exact"/>
              <w:rPr>
                <w:rFonts w:ascii="宋体" w:hAnsi="宋体" w:cs="宋体"/>
                <w:color w:val="000000"/>
                <w:szCs w:val="21"/>
              </w:rPr>
            </w:pPr>
            <w:r>
              <w:rPr>
                <w:rFonts w:hint="eastAsia" w:ascii="宋体" w:hAnsi="宋体" w:cs="宋体"/>
                <w:color w:val="000000"/>
                <w:szCs w:val="21"/>
                <w:lang w:val="en-US" w:eastAsia="zh-CN"/>
              </w:rPr>
              <w:t>教研组</w:t>
            </w:r>
            <w:r>
              <w:rPr>
                <w:rFonts w:hint="eastAsia" w:ascii="宋体" w:hAnsi="宋体" w:cs="宋体"/>
                <w:color w:val="000000"/>
                <w:szCs w:val="21"/>
              </w:rPr>
              <w:t>；</w:t>
            </w:r>
          </w:p>
        </w:tc>
      </w:tr>
      <w:tr w14:paraId="6DD722FE">
        <w:tblPrEx>
          <w:tblCellMar>
            <w:top w:w="0" w:type="dxa"/>
            <w:left w:w="108" w:type="dxa"/>
            <w:bottom w:w="0" w:type="dxa"/>
            <w:right w:w="108" w:type="dxa"/>
          </w:tblCellMar>
        </w:tblPrEx>
        <w:trPr>
          <w:trHeight w:val="355" w:hRule="atLeast"/>
          <w:jc w:val="center"/>
        </w:trPr>
        <w:tc>
          <w:tcPr>
            <w:tcW w:w="1284" w:type="dxa"/>
            <w:tcBorders>
              <w:top w:val="nil"/>
              <w:left w:val="single" w:color="auto" w:sz="4" w:space="0"/>
              <w:bottom w:val="single" w:color="auto" w:sz="4" w:space="0"/>
              <w:right w:val="single" w:color="auto" w:sz="4" w:space="0"/>
            </w:tcBorders>
            <w:noWrap/>
            <w:vAlign w:val="center"/>
          </w:tcPr>
          <w:p w14:paraId="6E58B5A4">
            <w:pPr>
              <w:spacing w:line="400" w:lineRule="exact"/>
              <w:jc w:val="center"/>
              <w:rPr>
                <w:rFonts w:ascii="宋体" w:hAnsi="宋体" w:cs="宋体"/>
                <w:color w:val="000000"/>
                <w:szCs w:val="21"/>
              </w:rPr>
            </w:pPr>
            <w:r>
              <w:rPr>
                <w:rFonts w:hint="eastAsia" w:ascii="宋体" w:hAnsi="宋体"/>
                <w:color w:val="000000"/>
                <w:szCs w:val="21"/>
              </w:rPr>
              <w:t>第11周</w:t>
            </w:r>
          </w:p>
        </w:tc>
        <w:tc>
          <w:tcPr>
            <w:tcW w:w="4857" w:type="dxa"/>
            <w:tcBorders>
              <w:top w:val="nil"/>
              <w:left w:val="nil"/>
              <w:bottom w:val="single" w:color="auto" w:sz="4" w:space="0"/>
              <w:right w:val="single" w:color="auto" w:sz="4" w:space="0"/>
            </w:tcBorders>
            <w:vAlign w:val="center"/>
          </w:tcPr>
          <w:p w14:paraId="0A2469D7">
            <w:pPr>
              <w:spacing w:line="400" w:lineRule="exact"/>
              <w:rPr>
                <w:rFonts w:ascii="宋体" w:hAnsi="宋体" w:cs="宋体"/>
                <w:color w:val="000000"/>
                <w:szCs w:val="21"/>
              </w:rPr>
            </w:pPr>
            <w:r>
              <w:rPr>
                <w:rFonts w:hint="eastAsia" w:ascii="宋体" w:hAnsi="宋体" w:cs="宋体"/>
                <w:color w:val="000000"/>
                <w:szCs w:val="21"/>
              </w:rPr>
              <w:t>备课组活动；</w:t>
            </w:r>
          </w:p>
        </w:tc>
        <w:tc>
          <w:tcPr>
            <w:tcW w:w="2006" w:type="dxa"/>
            <w:tcBorders>
              <w:top w:val="nil"/>
              <w:left w:val="nil"/>
              <w:bottom w:val="single" w:color="auto" w:sz="4" w:space="0"/>
              <w:right w:val="single" w:color="auto" w:sz="4" w:space="0"/>
            </w:tcBorders>
            <w:vAlign w:val="center"/>
          </w:tcPr>
          <w:p w14:paraId="5C60D059">
            <w:pPr>
              <w:spacing w:line="400" w:lineRule="exact"/>
              <w:rPr>
                <w:rFonts w:ascii="宋体" w:hAnsi="宋体" w:cs="宋体"/>
                <w:color w:val="000000"/>
                <w:szCs w:val="21"/>
              </w:rPr>
            </w:pPr>
            <w:r>
              <w:rPr>
                <w:rFonts w:hint="eastAsia" w:ascii="宋体" w:hAnsi="宋体" w:cs="宋体"/>
                <w:color w:val="000000"/>
                <w:szCs w:val="21"/>
              </w:rPr>
              <w:t>备课组；</w:t>
            </w:r>
          </w:p>
        </w:tc>
      </w:tr>
      <w:tr w14:paraId="5134F3F6">
        <w:tblPrEx>
          <w:tblCellMar>
            <w:top w:w="0" w:type="dxa"/>
            <w:left w:w="108" w:type="dxa"/>
            <w:bottom w:w="0" w:type="dxa"/>
            <w:right w:w="108" w:type="dxa"/>
          </w:tblCellMar>
        </w:tblPrEx>
        <w:trPr>
          <w:trHeight w:val="465" w:hRule="atLeast"/>
          <w:jc w:val="center"/>
        </w:trPr>
        <w:tc>
          <w:tcPr>
            <w:tcW w:w="1284" w:type="dxa"/>
            <w:tcBorders>
              <w:top w:val="nil"/>
              <w:left w:val="single" w:color="auto" w:sz="4" w:space="0"/>
              <w:bottom w:val="single" w:color="auto" w:sz="4" w:space="0"/>
              <w:right w:val="single" w:color="auto" w:sz="4" w:space="0"/>
            </w:tcBorders>
            <w:noWrap/>
            <w:vAlign w:val="center"/>
          </w:tcPr>
          <w:p w14:paraId="550318CB">
            <w:pPr>
              <w:spacing w:line="400" w:lineRule="exact"/>
              <w:jc w:val="center"/>
              <w:rPr>
                <w:rFonts w:ascii="宋体" w:hAnsi="宋体" w:cs="宋体"/>
                <w:color w:val="000000"/>
                <w:szCs w:val="21"/>
              </w:rPr>
            </w:pPr>
            <w:r>
              <w:rPr>
                <w:rFonts w:hint="eastAsia" w:ascii="宋体" w:hAnsi="宋体"/>
                <w:color w:val="000000"/>
                <w:szCs w:val="21"/>
              </w:rPr>
              <w:t>第12周</w:t>
            </w:r>
          </w:p>
        </w:tc>
        <w:tc>
          <w:tcPr>
            <w:tcW w:w="4857" w:type="dxa"/>
            <w:tcBorders>
              <w:top w:val="nil"/>
              <w:left w:val="nil"/>
              <w:bottom w:val="single" w:color="auto" w:sz="4" w:space="0"/>
              <w:right w:val="single" w:color="auto" w:sz="4" w:space="0"/>
            </w:tcBorders>
            <w:vAlign w:val="center"/>
          </w:tcPr>
          <w:p w14:paraId="491F09B1">
            <w:pPr>
              <w:spacing w:line="400" w:lineRule="exact"/>
              <w:rPr>
                <w:rFonts w:ascii="宋体" w:hAnsi="宋体"/>
                <w:color w:val="000000"/>
                <w:szCs w:val="21"/>
              </w:rPr>
            </w:pPr>
            <w:r>
              <w:rPr>
                <w:rFonts w:hint="eastAsia" w:ascii="宋体" w:hAnsi="宋体"/>
                <w:color w:val="000000"/>
                <w:szCs w:val="21"/>
                <w:lang w:val="en-US" w:eastAsia="zh-CN"/>
              </w:rPr>
              <w:t>体育节</w:t>
            </w:r>
            <w:r>
              <w:rPr>
                <w:rFonts w:hint="eastAsia" w:ascii="宋体" w:hAnsi="宋体"/>
                <w:color w:val="000000"/>
                <w:szCs w:val="21"/>
              </w:rPr>
              <w:t>的活动；</w:t>
            </w:r>
          </w:p>
        </w:tc>
        <w:tc>
          <w:tcPr>
            <w:tcW w:w="2006" w:type="dxa"/>
            <w:tcBorders>
              <w:top w:val="nil"/>
              <w:left w:val="nil"/>
              <w:bottom w:val="single" w:color="auto" w:sz="4" w:space="0"/>
              <w:right w:val="single" w:color="auto" w:sz="4" w:space="0"/>
            </w:tcBorders>
          </w:tcPr>
          <w:p w14:paraId="1402FFD3">
            <w:pPr>
              <w:spacing w:line="400" w:lineRule="exact"/>
              <w:rPr>
                <w:rFonts w:ascii="宋体" w:hAnsi="宋体" w:cs="宋体"/>
                <w:color w:val="000000"/>
                <w:szCs w:val="21"/>
              </w:rPr>
            </w:pPr>
            <w:r>
              <w:rPr>
                <w:rFonts w:hint="eastAsia" w:ascii="宋体" w:hAnsi="宋体" w:cs="宋体"/>
                <w:color w:val="000000"/>
                <w:szCs w:val="21"/>
              </w:rPr>
              <w:t>教研组</w:t>
            </w:r>
            <w:r>
              <w:rPr>
                <w:rFonts w:ascii="宋体" w:hAnsi="宋体" w:cs="宋体"/>
                <w:color w:val="000000"/>
                <w:szCs w:val="21"/>
              </w:rPr>
              <w:t>；</w:t>
            </w:r>
          </w:p>
        </w:tc>
      </w:tr>
      <w:tr w14:paraId="5B4793CC">
        <w:tblPrEx>
          <w:tblCellMar>
            <w:top w:w="0" w:type="dxa"/>
            <w:left w:w="108" w:type="dxa"/>
            <w:bottom w:w="0" w:type="dxa"/>
            <w:right w:w="108" w:type="dxa"/>
          </w:tblCellMar>
        </w:tblPrEx>
        <w:trPr>
          <w:trHeight w:val="587" w:hRule="atLeast"/>
          <w:jc w:val="center"/>
        </w:trPr>
        <w:tc>
          <w:tcPr>
            <w:tcW w:w="1284" w:type="dxa"/>
            <w:tcBorders>
              <w:top w:val="nil"/>
              <w:left w:val="single" w:color="auto" w:sz="4" w:space="0"/>
              <w:bottom w:val="single" w:color="auto" w:sz="4" w:space="0"/>
              <w:right w:val="single" w:color="auto" w:sz="4" w:space="0"/>
            </w:tcBorders>
            <w:noWrap/>
            <w:vAlign w:val="center"/>
          </w:tcPr>
          <w:p w14:paraId="66CFA441">
            <w:pPr>
              <w:spacing w:line="400" w:lineRule="exact"/>
              <w:jc w:val="center"/>
              <w:rPr>
                <w:rFonts w:ascii="宋体" w:hAnsi="宋体" w:cs="宋体"/>
                <w:color w:val="000000"/>
                <w:szCs w:val="21"/>
              </w:rPr>
            </w:pPr>
            <w:r>
              <w:rPr>
                <w:rFonts w:hint="eastAsia" w:ascii="宋体" w:hAnsi="宋体"/>
                <w:color w:val="000000"/>
                <w:szCs w:val="21"/>
              </w:rPr>
              <w:t>第13周</w:t>
            </w:r>
          </w:p>
        </w:tc>
        <w:tc>
          <w:tcPr>
            <w:tcW w:w="4857" w:type="dxa"/>
            <w:tcBorders>
              <w:top w:val="nil"/>
              <w:left w:val="nil"/>
              <w:bottom w:val="single" w:color="auto" w:sz="4" w:space="0"/>
              <w:right w:val="single" w:color="auto" w:sz="4" w:space="0"/>
            </w:tcBorders>
            <w:vAlign w:val="center"/>
          </w:tcPr>
          <w:p w14:paraId="6A5F29B8">
            <w:pPr>
              <w:spacing w:line="400" w:lineRule="exact"/>
              <w:rPr>
                <w:rFonts w:ascii="宋体" w:hAnsi="宋体" w:cs="宋体"/>
                <w:color w:val="000000"/>
                <w:szCs w:val="21"/>
              </w:rPr>
            </w:pPr>
            <w:r>
              <w:rPr>
                <w:rFonts w:hint="eastAsia" w:ascii="宋体" w:hAnsi="宋体" w:cs="宋体"/>
                <w:color w:val="000000"/>
                <w:szCs w:val="21"/>
              </w:rPr>
              <w:t>第二次</w:t>
            </w:r>
            <w:r>
              <w:rPr>
                <w:rFonts w:hint="eastAsia" w:ascii="宋体" w:hAnsi="宋体" w:cs="宋体"/>
                <w:color w:val="000000"/>
                <w:szCs w:val="21"/>
                <w:lang w:eastAsia="zh-CN"/>
              </w:rPr>
              <w:t>备课</w:t>
            </w:r>
            <w:r>
              <w:rPr>
                <w:rFonts w:hint="eastAsia" w:ascii="宋体" w:hAnsi="宋体" w:cs="宋体"/>
                <w:color w:val="000000"/>
                <w:szCs w:val="21"/>
              </w:rPr>
              <w:t>检查；</w:t>
            </w:r>
          </w:p>
          <w:p w14:paraId="512A6302">
            <w:pPr>
              <w:spacing w:line="400" w:lineRule="exact"/>
              <w:rPr>
                <w:rFonts w:ascii="宋体" w:hAnsi="宋体" w:cs="宋体"/>
                <w:color w:val="000000"/>
                <w:szCs w:val="21"/>
              </w:rPr>
            </w:pPr>
            <w:r>
              <w:rPr>
                <w:rFonts w:hint="eastAsia" w:ascii="宋体" w:hAnsi="宋体" w:cs="宋体"/>
                <w:color w:val="000000"/>
                <w:szCs w:val="21"/>
              </w:rPr>
              <w:t>教研组活动</w:t>
            </w:r>
            <w:r>
              <w:rPr>
                <w:rFonts w:ascii="宋体" w:hAnsi="宋体" w:cs="宋体"/>
                <w:color w:val="000000"/>
                <w:szCs w:val="21"/>
              </w:rPr>
              <w:t>、</w:t>
            </w:r>
            <w:r>
              <w:rPr>
                <w:rFonts w:hint="eastAsia" w:ascii="宋体" w:hAnsi="宋体" w:cs="宋体"/>
                <w:color w:val="000000"/>
                <w:szCs w:val="21"/>
              </w:rPr>
              <w:t>备课组活动；</w:t>
            </w:r>
          </w:p>
        </w:tc>
        <w:tc>
          <w:tcPr>
            <w:tcW w:w="2006" w:type="dxa"/>
            <w:tcBorders>
              <w:top w:val="nil"/>
              <w:left w:val="nil"/>
              <w:bottom w:val="single" w:color="auto" w:sz="4" w:space="0"/>
              <w:right w:val="single" w:color="auto" w:sz="4" w:space="0"/>
            </w:tcBorders>
            <w:noWrap/>
            <w:vAlign w:val="center"/>
          </w:tcPr>
          <w:p w14:paraId="43190E12">
            <w:pPr>
              <w:spacing w:line="400" w:lineRule="exact"/>
              <w:rPr>
                <w:rFonts w:hint="eastAsia" w:ascii="宋体" w:hAnsi="宋体" w:cs="宋体"/>
                <w:color w:val="000000"/>
                <w:szCs w:val="21"/>
                <w:lang w:eastAsia="zh-CN"/>
              </w:rPr>
            </w:pPr>
            <w:r>
              <w:rPr>
                <w:rFonts w:hint="eastAsia" w:ascii="宋体" w:hAnsi="宋体" w:cs="宋体"/>
                <w:color w:val="000000"/>
                <w:szCs w:val="21"/>
              </w:rPr>
              <w:t>教研组</w:t>
            </w:r>
            <w:r>
              <w:rPr>
                <w:rFonts w:hint="eastAsia" w:ascii="宋体" w:hAnsi="宋体" w:cs="宋体"/>
                <w:color w:val="000000"/>
                <w:szCs w:val="21"/>
                <w:lang w:eastAsia="zh-CN"/>
              </w:rPr>
              <w:t>；</w:t>
            </w:r>
          </w:p>
          <w:p w14:paraId="1769A9DE">
            <w:pPr>
              <w:spacing w:line="400" w:lineRule="exact"/>
              <w:rPr>
                <w:rFonts w:ascii="宋体" w:hAnsi="宋体" w:cs="宋体"/>
                <w:color w:val="000000"/>
                <w:szCs w:val="21"/>
              </w:rPr>
            </w:pPr>
            <w:r>
              <w:rPr>
                <w:rFonts w:hint="eastAsia" w:ascii="宋体" w:hAnsi="宋体" w:cs="宋体"/>
                <w:color w:val="000000"/>
                <w:szCs w:val="21"/>
              </w:rPr>
              <w:t>备课组</w:t>
            </w:r>
          </w:p>
        </w:tc>
      </w:tr>
      <w:tr w14:paraId="009EB3B5">
        <w:tblPrEx>
          <w:tblCellMar>
            <w:top w:w="0" w:type="dxa"/>
            <w:left w:w="108" w:type="dxa"/>
            <w:bottom w:w="0" w:type="dxa"/>
            <w:right w:w="108" w:type="dxa"/>
          </w:tblCellMar>
        </w:tblPrEx>
        <w:trPr>
          <w:trHeight w:val="505" w:hRule="atLeast"/>
          <w:jc w:val="center"/>
        </w:trPr>
        <w:tc>
          <w:tcPr>
            <w:tcW w:w="1284" w:type="dxa"/>
            <w:tcBorders>
              <w:top w:val="nil"/>
              <w:left w:val="single" w:color="auto" w:sz="4" w:space="0"/>
              <w:bottom w:val="single" w:color="auto" w:sz="4" w:space="0"/>
              <w:right w:val="single" w:color="auto" w:sz="4" w:space="0"/>
            </w:tcBorders>
            <w:noWrap/>
            <w:vAlign w:val="center"/>
          </w:tcPr>
          <w:p w14:paraId="28B6EE04">
            <w:pPr>
              <w:spacing w:line="400" w:lineRule="exact"/>
              <w:jc w:val="center"/>
              <w:rPr>
                <w:rFonts w:ascii="宋体" w:hAnsi="宋体" w:cs="宋体"/>
                <w:color w:val="000000"/>
                <w:szCs w:val="21"/>
              </w:rPr>
            </w:pPr>
            <w:r>
              <w:rPr>
                <w:rFonts w:hint="eastAsia" w:ascii="宋体" w:hAnsi="宋体"/>
                <w:color w:val="000000"/>
                <w:szCs w:val="21"/>
              </w:rPr>
              <w:t>第14周</w:t>
            </w:r>
          </w:p>
        </w:tc>
        <w:tc>
          <w:tcPr>
            <w:tcW w:w="4857" w:type="dxa"/>
            <w:tcBorders>
              <w:top w:val="nil"/>
              <w:left w:val="nil"/>
              <w:bottom w:val="single" w:color="auto" w:sz="4" w:space="0"/>
              <w:right w:val="single" w:color="auto" w:sz="4" w:space="0"/>
            </w:tcBorders>
            <w:vAlign w:val="center"/>
          </w:tcPr>
          <w:p w14:paraId="10B4E93D">
            <w:pPr>
              <w:spacing w:line="400" w:lineRule="exact"/>
              <w:rPr>
                <w:rFonts w:ascii="宋体" w:hAnsi="宋体"/>
                <w:color w:val="000000"/>
                <w:szCs w:val="21"/>
              </w:rPr>
            </w:pPr>
            <w:r>
              <w:rPr>
                <w:rFonts w:hint="eastAsia" w:ascii="宋体" w:hAnsi="宋体" w:cs="宋体"/>
                <w:color w:val="000000"/>
                <w:szCs w:val="21"/>
                <w:lang w:val="en-US" w:eastAsia="zh-CN"/>
              </w:rPr>
              <w:t>素养导向</w:t>
            </w:r>
            <w:r>
              <w:rPr>
                <w:rFonts w:hint="eastAsia" w:ascii="宋体" w:hAnsi="宋体" w:cs="宋体"/>
                <w:color w:val="000000"/>
                <w:szCs w:val="21"/>
                <w:lang w:eastAsia="zh-CN"/>
              </w:rPr>
              <w:t>的课型研究</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tcPr>
          <w:p w14:paraId="0EFDE70B">
            <w:pPr>
              <w:spacing w:line="400" w:lineRule="exact"/>
              <w:rPr>
                <w:rFonts w:ascii="宋体" w:hAnsi="宋体" w:cs="宋体"/>
                <w:color w:val="000000"/>
                <w:szCs w:val="21"/>
              </w:rPr>
            </w:pPr>
            <w:r>
              <w:rPr>
                <w:rFonts w:hint="eastAsia" w:ascii="宋体" w:hAnsi="宋体" w:cs="宋体"/>
                <w:color w:val="000000"/>
                <w:szCs w:val="21"/>
                <w:lang w:val="en-US" w:eastAsia="zh-CN"/>
              </w:rPr>
              <w:t>教研</w:t>
            </w:r>
            <w:r>
              <w:rPr>
                <w:rFonts w:hint="eastAsia" w:ascii="宋体" w:hAnsi="宋体" w:cs="宋体"/>
                <w:color w:val="000000"/>
                <w:szCs w:val="21"/>
              </w:rPr>
              <w:t>组；</w:t>
            </w:r>
          </w:p>
        </w:tc>
      </w:tr>
      <w:tr w14:paraId="0DAC84C8">
        <w:tblPrEx>
          <w:tblCellMar>
            <w:top w:w="0" w:type="dxa"/>
            <w:left w:w="108" w:type="dxa"/>
            <w:bottom w:w="0" w:type="dxa"/>
            <w:right w:w="108" w:type="dxa"/>
          </w:tblCellMar>
        </w:tblPrEx>
        <w:trPr>
          <w:trHeight w:val="557" w:hRule="atLeast"/>
          <w:jc w:val="center"/>
        </w:trPr>
        <w:tc>
          <w:tcPr>
            <w:tcW w:w="1284" w:type="dxa"/>
            <w:tcBorders>
              <w:top w:val="nil"/>
              <w:left w:val="single" w:color="auto" w:sz="4" w:space="0"/>
              <w:bottom w:val="single" w:color="auto" w:sz="4" w:space="0"/>
              <w:right w:val="single" w:color="auto" w:sz="4" w:space="0"/>
            </w:tcBorders>
            <w:noWrap/>
            <w:vAlign w:val="center"/>
          </w:tcPr>
          <w:p w14:paraId="501B2A45">
            <w:pPr>
              <w:spacing w:line="400" w:lineRule="exact"/>
              <w:jc w:val="center"/>
              <w:rPr>
                <w:rFonts w:ascii="宋体" w:hAnsi="宋体" w:cs="宋体"/>
                <w:color w:val="000000"/>
                <w:szCs w:val="21"/>
              </w:rPr>
            </w:pPr>
            <w:r>
              <w:rPr>
                <w:rFonts w:hint="eastAsia" w:ascii="宋体" w:hAnsi="宋体"/>
                <w:color w:val="000000"/>
                <w:szCs w:val="21"/>
              </w:rPr>
              <w:t>第15周</w:t>
            </w:r>
          </w:p>
        </w:tc>
        <w:tc>
          <w:tcPr>
            <w:tcW w:w="4857" w:type="dxa"/>
            <w:tcBorders>
              <w:top w:val="nil"/>
              <w:left w:val="nil"/>
              <w:bottom w:val="single" w:color="auto" w:sz="4" w:space="0"/>
              <w:right w:val="single" w:color="auto" w:sz="4" w:space="0"/>
            </w:tcBorders>
            <w:vAlign w:val="center"/>
          </w:tcPr>
          <w:p w14:paraId="34F9BBFA">
            <w:pPr>
              <w:spacing w:line="400" w:lineRule="exact"/>
              <w:rPr>
                <w:rFonts w:ascii="宋体" w:hAnsi="宋体" w:cs="宋体"/>
                <w:color w:val="000000"/>
                <w:szCs w:val="21"/>
              </w:rPr>
            </w:pPr>
            <w:r>
              <w:rPr>
                <w:rFonts w:hint="eastAsia" w:ascii="宋体" w:hAnsi="宋体" w:cs="宋体"/>
                <w:color w:val="000000"/>
                <w:szCs w:val="21"/>
              </w:rPr>
              <w:t>第二次学生作业检查；</w:t>
            </w:r>
          </w:p>
          <w:p w14:paraId="36F74D57">
            <w:pPr>
              <w:spacing w:line="400" w:lineRule="exact"/>
              <w:rPr>
                <w:rFonts w:ascii="宋体" w:hAnsi="宋体" w:cs="宋体"/>
                <w:color w:val="000000"/>
                <w:szCs w:val="21"/>
              </w:rPr>
            </w:pPr>
            <w:r>
              <w:rPr>
                <w:rFonts w:ascii="宋体" w:hAnsi="宋体" w:cs="宋体"/>
                <w:color w:val="000000"/>
                <w:szCs w:val="21"/>
              </w:rPr>
              <w:t>备课组活动</w:t>
            </w:r>
            <w:r>
              <w:rPr>
                <w:rFonts w:hint="eastAsia" w:ascii="宋体" w:hAnsi="宋体" w:cs="宋体"/>
                <w:color w:val="000000"/>
                <w:szCs w:val="21"/>
              </w:rPr>
              <w:t>；</w:t>
            </w:r>
          </w:p>
        </w:tc>
        <w:tc>
          <w:tcPr>
            <w:tcW w:w="2006" w:type="dxa"/>
            <w:tcBorders>
              <w:top w:val="nil"/>
              <w:left w:val="nil"/>
              <w:bottom w:val="single" w:color="auto" w:sz="4" w:space="0"/>
              <w:right w:val="single" w:color="auto" w:sz="4" w:space="0"/>
            </w:tcBorders>
            <w:vAlign w:val="center"/>
          </w:tcPr>
          <w:p w14:paraId="4264975F">
            <w:pPr>
              <w:spacing w:line="400" w:lineRule="exact"/>
              <w:rPr>
                <w:rFonts w:ascii="宋体" w:hAnsi="宋体" w:cs="宋体"/>
                <w:color w:val="000000"/>
                <w:szCs w:val="21"/>
              </w:rPr>
            </w:pPr>
            <w:r>
              <w:rPr>
                <w:rFonts w:hint="eastAsia" w:ascii="宋体" w:hAnsi="宋体" w:cs="宋体"/>
                <w:color w:val="000000"/>
                <w:szCs w:val="21"/>
              </w:rPr>
              <w:t>备课组；</w:t>
            </w:r>
          </w:p>
        </w:tc>
      </w:tr>
      <w:tr w14:paraId="1991AC4E">
        <w:tblPrEx>
          <w:tblCellMar>
            <w:top w:w="0" w:type="dxa"/>
            <w:left w:w="108" w:type="dxa"/>
            <w:bottom w:w="0" w:type="dxa"/>
            <w:right w:w="108" w:type="dxa"/>
          </w:tblCellMar>
        </w:tblPrEx>
        <w:trPr>
          <w:trHeight w:val="275" w:hRule="atLeast"/>
          <w:jc w:val="center"/>
        </w:trPr>
        <w:tc>
          <w:tcPr>
            <w:tcW w:w="1284" w:type="dxa"/>
            <w:tcBorders>
              <w:top w:val="nil"/>
              <w:left w:val="single" w:color="auto" w:sz="4" w:space="0"/>
              <w:bottom w:val="single" w:color="auto" w:sz="4" w:space="0"/>
              <w:right w:val="single" w:color="auto" w:sz="4" w:space="0"/>
            </w:tcBorders>
            <w:noWrap/>
            <w:vAlign w:val="center"/>
          </w:tcPr>
          <w:p w14:paraId="465FCA6A">
            <w:pPr>
              <w:spacing w:line="400" w:lineRule="exact"/>
              <w:jc w:val="center"/>
              <w:rPr>
                <w:rFonts w:ascii="宋体" w:hAnsi="宋体" w:cs="宋体"/>
                <w:color w:val="000000"/>
                <w:szCs w:val="21"/>
              </w:rPr>
            </w:pPr>
            <w:r>
              <w:rPr>
                <w:rFonts w:hint="eastAsia" w:ascii="宋体" w:hAnsi="宋体"/>
                <w:color w:val="000000"/>
                <w:szCs w:val="21"/>
              </w:rPr>
              <w:t>第16周</w:t>
            </w:r>
          </w:p>
        </w:tc>
        <w:tc>
          <w:tcPr>
            <w:tcW w:w="4857" w:type="dxa"/>
            <w:tcBorders>
              <w:top w:val="nil"/>
              <w:left w:val="nil"/>
              <w:bottom w:val="single" w:color="auto" w:sz="4" w:space="0"/>
              <w:right w:val="single" w:color="auto" w:sz="4" w:space="0"/>
            </w:tcBorders>
            <w:vAlign w:val="center"/>
          </w:tcPr>
          <w:p w14:paraId="4F8C64B9">
            <w:pPr>
              <w:spacing w:line="400" w:lineRule="exact"/>
              <w:rPr>
                <w:rFonts w:hint="default" w:ascii="宋体" w:hAnsi="宋体" w:cs="宋体" w:eastAsiaTheme="minorEastAsia"/>
                <w:color w:val="000000"/>
                <w:szCs w:val="21"/>
                <w:lang w:val="en-US" w:eastAsia="zh-CN"/>
              </w:rPr>
            </w:pPr>
            <w:r>
              <w:rPr>
                <w:rFonts w:hint="eastAsia" w:ascii="宋体" w:hAnsi="宋体" w:cs="宋体"/>
                <w:color w:val="000000"/>
                <w:szCs w:val="21"/>
                <w:lang w:val="en-US" w:eastAsia="zh-CN"/>
              </w:rPr>
              <w:t>科技节活动；</w:t>
            </w:r>
          </w:p>
          <w:p w14:paraId="3047E25C">
            <w:pPr>
              <w:spacing w:line="400" w:lineRule="exact"/>
              <w:rPr>
                <w:rFonts w:ascii="宋体" w:hAnsi="宋体" w:cs="宋体"/>
                <w:color w:val="000000"/>
                <w:szCs w:val="21"/>
              </w:rPr>
            </w:pPr>
            <w:r>
              <w:rPr>
                <w:rFonts w:hint="eastAsia" w:ascii="宋体" w:hAnsi="宋体" w:cs="宋体"/>
                <w:color w:val="000000"/>
                <w:szCs w:val="21"/>
                <w:lang w:eastAsia="zh-CN"/>
              </w:rPr>
              <w:t>制定</w:t>
            </w:r>
            <w:r>
              <w:rPr>
                <w:rFonts w:hint="eastAsia" w:ascii="宋体" w:hAnsi="宋体" w:cs="宋体"/>
                <w:color w:val="000000"/>
                <w:szCs w:val="21"/>
              </w:rPr>
              <w:t>期末复习计划；</w:t>
            </w:r>
          </w:p>
        </w:tc>
        <w:tc>
          <w:tcPr>
            <w:tcW w:w="2006" w:type="dxa"/>
            <w:tcBorders>
              <w:top w:val="nil"/>
              <w:left w:val="nil"/>
              <w:bottom w:val="single" w:color="auto" w:sz="4" w:space="0"/>
              <w:right w:val="single" w:color="auto" w:sz="4" w:space="0"/>
            </w:tcBorders>
          </w:tcPr>
          <w:p w14:paraId="04BD1DF6">
            <w:pPr>
              <w:spacing w:line="400" w:lineRule="exact"/>
              <w:rPr>
                <w:rFonts w:ascii="宋体" w:hAnsi="宋体" w:cs="宋体"/>
                <w:color w:val="000000"/>
                <w:szCs w:val="21"/>
              </w:rPr>
            </w:pPr>
            <w:r>
              <w:rPr>
                <w:rFonts w:hint="eastAsia" w:ascii="宋体" w:hAnsi="宋体" w:cs="宋体"/>
                <w:color w:val="000000"/>
                <w:szCs w:val="21"/>
              </w:rPr>
              <w:t>备课组</w:t>
            </w:r>
          </w:p>
        </w:tc>
      </w:tr>
      <w:tr w14:paraId="33195DEC">
        <w:tblPrEx>
          <w:tblCellMar>
            <w:top w:w="0" w:type="dxa"/>
            <w:left w:w="108" w:type="dxa"/>
            <w:bottom w:w="0" w:type="dxa"/>
            <w:right w:w="108" w:type="dxa"/>
          </w:tblCellMar>
        </w:tblPrEx>
        <w:trPr>
          <w:trHeight w:val="570" w:hRule="atLeast"/>
          <w:jc w:val="center"/>
        </w:trPr>
        <w:tc>
          <w:tcPr>
            <w:tcW w:w="1284" w:type="dxa"/>
            <w:tcBorders>
              <w:top w:val="nil"/>
              <w:left w:val="single" w:color="auto" w:sz="4" w:space="0"/>
              <w:bottom w:val="single" w:color="auto" w:sz="4" w:space="0"/>
              <w:right w:val="single" w:color="auto" w:sz="4" w:space="0"/>
            </w:tcBorders>
            <w:noWrap/>
            <w:vAlign w:val="center"/>
          </w:tcPr>
          <w:p w14:paraId="3DD7525D">
            <w:pPr>
              <w:spacing w:line="400" w:lineRule="exact"/>
              <w:jc w:val="center"/>
              <w:rPr>
                <w:rFonts w:ascii="宋体" w:hAnsi="宋体"/>
                <w:color w:val="000000"/>
                <w:szCs w:val="21"/>
              </w:rPr>
            </w:pPr>
            <w:r>
              <w:rPr>
                <w:rFonts w:hint="eastAsia" w:ascii="宋体" w:hAnsi="宋体"/>
                <w:color w:val="000000"/>
                <w:szCs w:val="21"/>
              </w:rPr>
              <w:t>第17周</w:t>
            </w:r>
          </w:p>
        </w:tc>
        <w:tc>
          <w:tcPr>
            <w:tcW w:w="4857" w:type="dxa"/>
            <w:tcBorders>
              <w:top w:val="nil"/>
              <w:left w:val="nil"/>
              <w:bottom w:val="single" w:color="auto" w:sz="4" w:space="0"/>
              <w:right w:val="single" w:color="auto" w:sz="4" w:space="0"/>
            </w:tcBorders>
            <w:vAlign w:val="center"/>
          </w:tcPr>
          <w:p w14:paraId="11914303">
            <w:pPr>
              <w:spacing w:line="400" w:lineRule="exact"/>
              <w:rPr>
                <w:rFonts w:ascii="宋体" w:hAnsi="宋体" w:cs="宋体"/>
                <w:color w:val="000000"/>
                <w:szCs w:val="21"/>
              </w:rPr>
            </w:pPr>
            <w:r>
              <w:rPr>
                <w:rFonts w:hint="eastAsia" w:ascii="宋体" w:hAnsi="宋体" w:cs="宋体"/>
                <w:color w:val="000000"/>
                <w:szCs w:val="21"/>
              </w:rPr>
              <w:t>教研组</w:t>
            </w:r>
            <w:r>
              <w:rPr>
                <w:rFonts w:ascii="宋体" w:hAnsi="宋体" w:cs="宋体"/>
                <w:color w:val="000000"/>
                <w:szCs w:val="21"/>
              </w:rPr>
              <w:t>活动、</w:t>
            </w:r>
            <w:r>
              <w:rPr>
                <w:rFonts w:hint="eastAsia" w:ascii="宋体" w:hAnsi="宋体" w:cs="宋体"/>
                <w:color w:val="000000"/>
                <w:szCs w:val="21"/>
              </w:rPr>
              <w:t>备课组活动；</w:t>
            </w:r>
          </w:p>
          <w:p w14:paraId="66705D1C">
            <w:pPr>
              <w:spacing w:line="400" w:lineRule="exact"/>
              <w:rPr>
                <w:rFonts w:ascii="宋体" w:hAnsi="宋体" w:cs="宋体"/>
                <w:color w:val="000000"/>
                <w:szCs w:val="21"/>
              </w:rPr>
            </w:pPr>
            <w:r>
              <w:rPr>
                <w:rFonts w:hint="eastAsia" w:ascii="宋体" w:hAnsi="宋体" w:cs="宋体"/>
                <w:color w:val="000000"/>
                <w:szCs w:val="21"/>
                <w:lang w:val="en-US" w:eastAsia="zh-CN"/>
              </w:rPr>
              <w:t>英语</w:t>
            </w:r>
            <w:r>
              <w:rPr>
                <w:rFonts w:ascii="宋体" w:hAnsi="宋体" w:cs="宋体"/>
                <w:color w:val="000000"/>
                <w:szCs w:val="21"/>
              </w:rPr>
              <w:t>周活动；</w:t>
            </w:r>
          </w:p>
        </w:tc>
        <w:tc>
          <w:tcPr>
            <w:tcW w:w="2006" w:type="dxa"/>
            <w:tcBorders>
              <w:top w:val="nil"/>
              <w:left w:val="nil"/>
              <w:bottom w:val="single" w:color="auto" w:sz="4" w:space="0"/>
              <w:right w:val="single" w:color="auto" w:sz="4" w:space="0"/>
            </w:tcBorders>
          </w:tcPr>
          <w:p w14:paraId="24410871">
            <w:pPr>
              <w:spacing w:line="400" w:lineRule="exact"/>
              <w:rPr>
                <w:rFonts w:ascii="宋体" w:hAnsi="宋体" w:cs="宋体"/>
                <w:color w:val="000000"/>
                <w:szCs w:val="21"/>
              </w:rPr>
            </w:pPr>
            <w:r>
              <w:rPr>
                <w:rFonts w:hint="eastAsia" w:ascii="宋体" w:hAnsi="宋体" w:cs="宋体"/>
                <w:color w:val="000000"/>
                <w:szCs w:val="21"/>
              </w:rPr>
              <w:t>备课组；</w:t>
            </w:r>
          </w:p>
          <w:p w14:paraId="33AB47B3">
            <w:pPr>
              <w:spacing w:line="400" w:lineRule="exact"/>
              <w:rPr>
                <w:rFonts w:ascii="宋体" w:hAnsi="宋体" w:cs="宋体"/>
                <w:szCs w:val="21"/>
              </w:rPr>
            </w:pPr>
            <w:r>
              <w:rPr>
                <w:rFonts w:hint="eastAsia" w:ascii="宋体" w:hAnsi="宋体" w:cs="宋体"/>
                <w:color w:val="000000"/>
                <w:szCs w:val="21"/>
              </w:rPr>
              <w:t>教研组</w:t>
            </w:r>
            <w:r>
              <w:rPr>
                <w:rFonts w:ascii="宋体" w:hAnsi="宋体" w:cs="宋体"/>
                <w:color w:val="000000"/>
                <w:szCs w:val="21"/>
              </w:rPr>
              <w:t>、</w:t>
            </w:r>
            <w:r>
              <w:rPr>
                <w:rFonts w:hint="eastAsia" w:ascii="宋体" w:hAnsi="宋体" w:cs="宋体"/>
                <w:color w:val="000000"/>
                <w:szCs w:val="21"/>
              </w:rPr>
              <w:t>备课组；</w:t>
            </w:r>
          </w:p>
        </w:tc>
      </w:tr>
      <w:tr w14:paraId="4EEFAF3F">
        <w:tblPrEx>
          <w:tblCellMar>
            <w:top w:w="0" w:type="dxa"/>
            <w:left w:w="108" w:type="dxa"/>
            <w:bottom w:w="0" w:type="dxa"/>
            <w:right w:w="108" w:type="dxa"/>
          </w:tblCellMar>
        </w:tblPrEx>
        <w:trPr>
          <w:trHeight w:val="416" w:hRule="atLeast"/>
          <w:jc w:val="center"/>
        </w:trPr>
        <w:tc>
          <w:tcPr>
            <w:tcW w:w="1284" w:type="dxa"/>
            <w:tcBorders>
              <w:top w:val="nil"/>
              <w:left w:val="single" w:color="auto" w:sz="4" w:space="0"/>
              <w:right w:val="single" w:color="auto" w:sz="4" w:space="0"/>
            </w:tcBorders>
            <w:noWrap/>
            <w:vAlign w:val="center"/>
          </w:tcPr>
          <w:p w14:paraId="37620BCD">
            <w:pPr>
              <w:spacing w:line="400" w:lineRule="exact"/>
              <w:jc w:val="center"/>
              <w:rPr>
                <w:rFonts w:ascii="宋体" w:hAnsi="宋体" w:cs="宋体"/>
                <w:color w:val="000000"/>
                <w:szCs w:val="21"/>
              </w:rPr>
            </w:pPr>
            <w:r>
              <w:rPr>
                <w:rFonts w:hint="eastAsia" w:ascii="宋体" w:hAnsi="宋体"/>
                <w:color w:val="000000"/>
                <w:szCs w:val="21"/>
              </w:rPr>
              <w:t>第18周</w:t>
            </w:r>
          </w:p>
        </w:tc>
        <w:tc>
          <w:tcPr>
            <w:tcW w:w="4857" w:type="dxa"/>
            <w:tcBorders>
              <w:top w:val="nil"/>
              <w:left w:val="nil"/>
              <w:right w:val="single" w:color="auto" w:sz="4" w:space="0"/>
            </w:tcBorders>
            <w:vAlign w:val="center"/>
          </w:tcPr>
          <w:p w14:paraId="358007B6">
            <w:pPr>
              <w:spacing w:line="400" w:lineRule="exact"/>
              <w:rPr>
                <w:rFonts w:ascii="宋体" w:hAnsi="宋体"/>
                <w:color w:val="000000"/>
                <w:szCs w:val="21"/>
              </w:rPr>
            </w:pPr>
            <w:r>
              <w:rPr>
                <w:rFonts w:hint="eastAsia" w:ascii="宋体" w:hAnsi="宋体"/>
                <w:color w:val="000000"/>
                <w:szCs w:val="21"/>
              </w:rPr>
              <w:t>期终复习；</w:t>
            </w:r>
          </w:p>
          <w:p w14:paraId="0B0E5A89">
            <w:pPr>
              <w:spacing w:line="400" w:lineRule="exact"/>
              <w:rPr>
                <w:rFonts w:ascii="宋体" w:hAnsi="宋体"/>
                <w:color w:val="000000"/>
                <w:szCs w:val="21"/>
              </w:rPr>
            </w:pPr>
            <w:r>
              <w:rPr>
                <w:rFonts w:hint="eastAsia" w:ascii="宋体" w:hAnsi="宋体"/>
                <w:color w:val="000000"/>
                <w:szCs w:val="21"/>
              </w:rPr>
              <w:t>准备一</w:t>
            </w:r>
            <w:r>
              <w:rPr>
                <w:rFonts w:hint="eastAsia" w:ascii="宋体" w:hAnsi="宋体"/>
                <w:color w:val="000000"/>
                <w:szCs w:val="21"/>
                <w:lang w:eastAsia="zh-CN"/>
              </w:rPr>
              <w:t>、</w:t>
            </w:r>
            <w:r>
              <w:rPr>
                <w:rFonts w:hint="eastAsia" w:ascii="宋体" w:hAnsi="宋体"/>
                <w:color w:val="000000"/>
                <w:szCs w:val="21"/>
                <w:lang w:val="en-US" w:eastAsia="zh-CN"/>
              </w:rPr>
              <w:t>二</w:t>
            </w:r>
            <w:r>
              <w:rPr>
                <w:rFonts w:hint="eastAsia" w:ascii="宋体" w:hAnsi="宋体"/>
                <w:color w:val="000000"/>
                <w:szCs w:val="21"/>
              </w:rPr>
              <w:t>年级</w:t>
            </w:r>
            <w:r>
              <w:rPr>
                <w:rFonts w:ascii="宋体" w:hAnsi="宋体"/>
                <w:color w:val="000000"/>
                <w:szCs w:val="21"/>
              </w:rPr>
              <w:t>游园活动</w:t>
            </w:r>
            <w:r>
              <w:rPr>
                <w:rFonts w:hint="eastAsia" w:ascii="宋体" w:hAnsi="宋体"/>
                <w:color w:val="000000"/>
                <w:szCs w:val="21"/>
              </w:rPr>
              <w:t>；</w:t>
            </w:r>
          </w:p>
          <w:p w14:paraId="01D70B2F">
            <w:pPr>
              <w:spacing w:line="400" w:lineRule="exact"/>
              <w:rPr>
                <w:rFonts w:ascii="宋体" w:hAnsi="宋体" w:cs="宋体"/>
                <w:color w:val="000000"/>
                <w:szCs w:val="21"/>
              </w:rPr>
            </w:pPr>
            <w:r>
              <w:rPr>
                <w:rFonts w:hint="eastAsia" w:ascii="宋体" w:hAnsi="宋体" w:cs="宋体"/>
                <w:color w:val="000000"/>
                <w:szCs w:val="21"/>
              </w:rPr>
              <w:t>备课组考核、业务考核</w:t>
            </w:r>
            <w:r>
              <w:rPr>
                <w:rFonts w:hint="eastAsia" w:ascii="宋体" w:hAnsi="宋体"/>
                <w:color w:val="000000"/>
                <w:szCs w:val="21"/>
              </w:rPr>
              <w:t>材料准备；</w:t>
            </w:r>
          </w:p>
        </w:tc>
        <w:tc>
          <w:tcPr>
            <w:tcW w:w="2006" w:type="dxa"/>
            <w:tcBorders>
              <w:top w:val="nil"/>
              <w:left w:val="nil"/>
              <w:right w:val="single" w:color="auto" w:sz="4" w:space="0"/>
            </w:tcBorders>
          </w:tcPr>
          <w:p w14:paraId="10218B9A">
            <w:pPr>
              <w:spacing w:line="400" w:lineRule="exact"/>
              <w:rPr>
                <w:rFonts w:ascii="宋体" w:hAnsi="宋体" w:cs="宋体"/>
                <w:color w:val="000000"/>
                <w:szCs w:val="21"/>
              </w:rPr>
            </w:pPr>
            <w:r>
              <w:rPr>
                <w:rFonts w:hint="eastAsia" w:ascii="宋体" w:hAnsi="宋体" w:cs="宋体"/>
                <w:color w:val="000000"/>
                <w:szCs w:val="21"/>
              </w:rPr>
              <w:t>教导处；</w:t>
            </w:r>
          </w:p>
          <w:p w14:paraId="1D30D384">
            <w:pPr>
              <w:spacing w:line="400" w:lineRule="exact"/>
              <w:rPr>
                <w:rFonts w:ascii="宋体" w:hAnsi="宋体" w:cs="宋体"/>
                <w:color w:val="000000"/>
                <w:szCs w:val="21"/>
              </w:rPr>
            </w:pPr>
            <w:r>
              <w:rPr>
                <w:rFonts w:hint="eastAsia" w:ascii="宋体" w:hAnsi="宋体" w:cs="宋体"/>
                <w:color w:val="000000"/>
                <w:szCs w:val="21"/>
              </w:rPr>
              <w:t>教导处；</w:t>
            </w:r>
          </w:p>
          <w:p w14:paraId="142A9522">
            <w:pPr>
              <w:spacing w:line="400" w:lineRule="exact"/>
              <w:rPr>
                <w:rFonts w:ascii="宋体" w:hAnsi="宋体" w:cs="宋体"/>
                <w:color w:val="000000"/>
                <w:szCs w:val="21"/>
              </w:rPr>
            </w:pPr>
            <w:r>
              <w:rPr>
                <w:rFonts w:hint="eastAsia" w:ascii="宋体" w:hAnsi="宋体" w:cs="宋体"/>
                <w:color w:val="000000"/>
                <w:szCs w:val="21"/>
              </w:rPr>
              <w:t>备课组；</w:t>
            </w:r>
          </w:p>
        </w:tc>
      </w:tr>
      <w:tr w14:paraId="7D1C0B3C">
        <w:tblPrEx>
          <w:tblCellMar>
            <w:top w:w="0" w:type="dxa"/>
            <w:left w:w="108" w:type="dxa"/>
            <w:bottom w:w="0" w:type="dxa"/>
            <w:right w:w="108" w:type="dxa"/>
          </w:tblCellMar>
        </w:tblPrEx>
        <w:trPr>
          <w:trHeight w:val="557" w:hRule="atLeast"/>
          <w:jc w:val="center"/>
        </w:trPr>
        <w:tc>
          <w:tcPr>
            <w:tcW w:w="1284" w:type="dxa"/>
            <w:tcBorders>
              <w:top w:val="single" w:color="auto" w:sz="4" w:space="0"/>
              <w:left w:val="single" w:color="auto" w:sz="4" w:space="0"/>
              <w:bottom w:val="single" w:color="auto" w:sz="4" w:space="0"/>
              <w:right w:val="single" w:color="auto" w:sz="4" w:space="0"/>
            </w:tcBorders>
            <w:noWrap/>
            <w:vAlign w:val="center"/>
          </w:tcPr>
          <w:p w14:paraId="40EDE856">
            <w:pPr>
              <w:spacing w:line="400" w:lineRule="exact"/>
              <w:jc w:val="center"/>
              <w:rPr>
                <w:rFonts w:ascii="宋体" w:hAnsi="宋体" w:cs="宋体"/>
                <w:color w:val="000000"/>
                <w:szCs w:val="21"/>
              </w:rPr>
            </w:pPr>
            <w:r>
              <w:rPr>
                <w:rFonts w:hint="eastAsia" w:ascii="宋体" w:hAnsi="宋体"/>
                <w:color w:val="000000"/>
                <w:szCs w:val="21"/>
              </w:rPr>
              <w:t>第19周</w:t>
            </w:r>
          </w:p>
        </w:tc>
        <w:tc>
          <w:tcPr>
            <w:tcW w:w="4857" w:type="dxa"/>
            <w:tcBorders>
              <w:top w:val="single" w:color="auto" w:sz="4" w:space="0"/>
              <w:left w:val="nil"/>
              <w:bottom w:val="single" w:color="auto" w:sz="4" w:space="0"/>
              <w:right w:val="single" w:color="auto" w:sz="4" w:space="0"/>
            </w:tcBorders>
            <w:vAlign w:val="center"/>
          </w:tcPr>
          <w:p w14:paraId="1241C6FD">
            <w:pPr>
              <w:spacing w:line="400" w:lineRule="exact"/>
              <w:rPr>
                <w:rFonts w:ascii="宋体" w:hAnsi="宋体"/>
                <w:color w:val="000000"/>
                <w:szCs w:val="21"/>
              </w:rPr>
            </w:pPr>
            <w:r>
              <w:rPr>
                <w:rFonts w:hint="eastAsia" w:ascii="宋体" w:hAnsi="宋体"/>
                <w:color w:val="000000"/>
                <w:szCs w:val="21"/>
              </w:rPr>
              <w:t>期终复习；</w:t>
            </w:r>
          </w:p>
          <w:p w14:paraId="0CA3B5C3">
            <w:pPr>
              <w:spacing w:line="400" w:lineRule="exact"/>
              <w:rPr>
                <w:rFonts w:ascii="宋体" w:hAnsi="宋体"/>
                <w:color w:val="000000"/>
                <w:szCs w:val="21"/>
              </w:rPr>
            </w:pPr>
            <w:r>
              <w:rPr>
                <w:rFonts w:hint="eastAsia" w:ascii="宋体" w:hAnsi="宋体"/>
                <w:color w:val="000000"/>
                <w:szCs w:val="21"/>
              </w:rPr>
              <w:t>一</w:t>
            </w:r>
            <w:r>
              <w:rPr>
                <w:rFonts w:hint="eastAsia" w:ascii="宋体" w:hAnsi="宋体"/>
                <w:color w:val="000000"/>
                <w:szCs w:val="21"/>
                <w:lang w:eastAsia="zh-CN"/>
              </w:rPr>
              <w:t>、</w:t>
            </w:r>
            <w:r>
              <w:rPr>
                <w:rFonts w:hint="eastAsia" w:ascii="宋体" w:hAnsi="宋体"/>
                <w:color w:val="000000"/>
                <w:szCs w:val="21"/>
                <w:lang w:val="en-US" w:eastAsia="zh-CN"/>
              </w:rPr>
              <w:t>二</w:t>
            </w:r>
            <w:r>
              <w:rPr>
                <w:rFonts w:hint="eastAsia" w:ascii="宋体" w:hAnsi="宋体"/>
                <w:color w:val="000000"/>
                <w:szCs w:val="21"/>
              </w:rPr>
              <w:t>年级</w:t>
            </w:r>
            <w:r>
              <w:rPr>
                <w:rFonts w:ascii="宋体" w:hAnsi="宋体"/>
                <w:color w:val="000000"/>
                <w:szCs w:val="21"/>
              </w:rPr>
              <w:t>游园活动</w:t>
            </w:r>
            <w:r>
              <w:rPr>
                <w:rFonts w:hint="eastAsia" w:ascii="宋体" w:hAnsi="宋体"/>
                <w:color w:val="000000"/>
                <w:szCs w:val="21"/>
              </w:rPr>
              <w:t>，</w:t>
            </w:r>
            <w:r>
              <w:rPr>
                <w:rFonts w:ascii="宋体" w:hAnsi="宋体"/>
                <w:color w:val="000000"/>
                <w:szCs w:val="21"/>
              </w:rPr>
              <w:t>英语学科期末考</w:t>
            </w:r>
            <w:r>
              <w:rPr>
                <w:rFonts w:hint="eastAsia" w:ascii="宋体" w:hAnsi="宋体"/>
                <w:color w:val="000000"/>
                <w:szCs w:val="21"/>
                <w:lang w:val="en-US" w:eastAsia="zh-CN"/>
              </w:rPr>
              <w:t>查</w:t>
            </w:r>
            <w:r>
              <w:rPr>
                <w:rFonts w:ascii="宋体" w:hAnsi="宋体"/>
                <w:color w:val="000000"/>
                <w:szCs w:val="21"/>
              </w:rPr>
              <w:t>；</w:t>
            </w:r>
          </w:p>
          <w:p w14:paraId="169AF3AF">
            <w:pPr>
              <w:spacing w:line="400" w:lineRule="exact"/>
              <w:rPr>
                <w:rFonts w:ascii="宋体" w:hAnsi="宋体" w:cs="宋体"/>
                <w:color w:val="000000"/>
                <w:szCs w:val="21"/>
              </w:rPr>
            </w:pPr>
            <w:r>
              <w:rPr>
                <w:rFonts w:hint="eastAsia" w:ascii="宋体" w:hAnsi="宋体" w:cs="宋体"/>
                <w:color w:val="000000"/>
                <w:szCs w:val="21"/>
              </w:rPr>
              <w:t>备课组考核；</w:t>
            </w:r>
          </w:p>
        </w:tc>
        <w:tc>
          <w:tcPr>
            <w:tcW w:w="2006" w:type="dxa"/>
            <w:tcBorders>
              <w:top w:val="single" w:color="auto" w:sz="4" w:space="0"/>
              <w:left w:val="nil"/>
              <w:bottom w:val="single" w:color="auto" w:sz="4" w:space="0"/>
              <w:right w:val="single" w:color="auto" w:sz="4" w:space="0"/>
            </w:tcBorders>
          </w:tcPr>
          <w:p w14:paraId="4E777A26">
            <w:pPr>
              <w:spacing w:line="400" w:lineRule="exact"/>
              <w:rPr>
                <w:rFonts w:ascii="宋体" w:hAnsi="宋体" w:cs="宋体"/>
                <w:color w:val="000000"/>
                <w:szCs w:val="21"/>
              </w:rPr>
            </w:pPr>
            <w:r>
              <w:rPr>
                <w:rFonts w:hint="eastAsia" w:ascii="宋体" w:hAnsi="宋体" w:cs="宋体"/>
                <w:color w:val="000000"/>
                <w:szCs w:val="21"/>
              </w:rPr>
              <w:t>备课组；</w:t>
            </w:r>
          </w:p>
          <w:p w14:paraId="40B4DC34">
            <w:pPr>
              <w:spacing w:line="400" w:lineRule="exact"/>
              <w:rPr>
                <w:rFonts w:hint="eastAsia" w:ascii="宋体" w:hAnsi="宋体" w:cs="宋体"/>
                <w:color w:val="000000"/>
                <w:szCs w:val="21"/>
              </w:rPr>
            </w:pPr>
            <w:r>
              <w:rPr>
                <w:rFonts w:hint="eastAsia" w:ascii="宋体" w:hAnsi="宋体" w:cs="宋体"/>
                <w:color w:val="000000"/>
                <w:szCs w:val="21"/>
              </w:rPr>
              <w:t>教导处；</w:t>
            </w:r>
          </w:p>
          <w:p w14:paraId="2F87A40E">
            <w:pPr>
              <w:spacing w:line="400" w:lineRule="exact"/>
              <w:rPr>
                <w:rFonts w:hint="eastAsia" w:ascii="宋体" w:hAnsi="宋体" w:cs="宋体" w:eastAsiaTheme="minorEastAsia"/>
                <w:color w:val="000000"/>
                <w:szCs w:val="21"/>
                <w:lang w:val="en-US" w:eastAsia="zh-CN"/>
              </w:rPr>
            </w:pPr>
            <w:r>
              <w:rPr>
                <w:rFonts w:hint="eastAsia" w:ascii="宋体" w:hAnsi="宋体" w:cs="宋体"/>
                <w:color w:val="000000"/>
                <w:szCs w:val="21"/>
                <w:lang w:val="en-US" w:eastAsia="zh-CN"/>
              </w:rPr>
              <w:t>备课组；</w:t>
            </w:r>
          </w:p>
        </w:tc>
      </w:tr>
      <w:tr w14:paraId="651C8BC6">
        <w:tblPrEx>
          <w:tblCellMar>
            <w:top w:w="0" w:type="dxa"/>
            <w:left w:w="108" w:type="dxa"/>
            <w:bottom w:w="0" w:type="dxa"/>
            <w:right w:w="108" w:type="dxa"/>
          </w:tblCellMar>
        </w:tblPrEx>
        <w:trPr>
          <w:trHeight w:val="557" w:hRule="atLeast"/>
          <w:jc w:val="center"/>
        </w:trPr>
        <w:tc>
          <w:tcPr>
            <w:tcW w:w="1284" w:type="dxa"/>
            <w:tcBorders>
              <w:top w:val="single" w:color="auto" w:sz="4" w:space="0"/>
              <w:left w:val="single" w:color="auto" w:sz="4" w:space="0"/>
              <w:bottom w:val="single" w:color="auto" w:sz="4" w:space="0"/>
              <w:right w:val="single" w:color="auto" w:sz="4" w:space="0"/>
            </w:tcBorders>
            <w:noWrap/>
            <w:vAlign w:val="center"/>
          </w:tcPr>
          <w:p w14:paraId="515778DA">
            <w:pPr>
              <w:spacing w:line="400" w:lineRule="exact"/>
              <w:jc w:val="center"/>
              <w:rPr>
                <w:rFonts w:ascii="宋体" w:hAnsi="宋体"/>
                <w:color w:val="000000"/>
                <w:szCs w:val="21"/>
              </w:rPr>
            </w:pPr>
            <w:r>
              <w:rPr>
                <w:rFonts w:hint="eastAsia" w:ascii="宋体" w:hAnsi="宋体"/>
                <w:color w:val="000000"/>
                <w:szCs w:val="21"/>
              </w:rPr>
              <w:t>第20周</w:t>
            </w:r>
          </w:p>
        </w:tc>
        <w:tc>
          <w:tcPr>
            <w:tcW w:w="4857" w:type="dxa"/>
            <w:tcBorders>
              <w:top w:val="single" w:color="auto" w:sz="4" w:space="0"/>
              <w:left w:val="nil"/>
              <w:bottom w:val="single" w:color="auto" w:sz="4" w:space="0"/>
              <w:right w:val="single" w:color="auto" w:sz="4" w:space="0"/>
            </w:tcBorders>
            <w:vAlign w:val="center"/>
          </w:tcPr>
          <w:p w14:paraId="75E465E7">
            <w:pPr>
              <w:spacing w:line="400" w:lineRule="exact"/>
              <w:rPr>
                <w:rFonts w:ascii="宋体" w:hAnsi="宋体"/>
                <w:color w:val="000000"/>
                <w:szCs w:val="21"/>
              </w:rPr>
            </w:pPr>
            <w:r>
              <w:rPr>
                <w:rFonts w:hint="eastAsia" w:ascii="宋体" w:hAnsi="宋体"/>
                <w:color w:val="000000"/>
                <w:szCs w:val="21"/>
              </w:rPr>
              <w:t>三</w:t>
            </w:r>
            <w:r>
              <w:rPr>
                <w:rFonts w:hint="eastAsia" w:ascii="宋体" w:hAnsi="宋体"/>
                <w:color w:val="000000"/>
                <w:szCs w:val="21"/>
                <w:lang w:eastAsia="zh-CN"/>
              </w:rPr>
              <w:t>～</w:t>
            </w:r>
            <w:r>
              <w:rPr>
                <w:rFonts w:hint="eastAsia" w:ascii="宋体" w:hAnsi="宋体"/>
                <w:color w:val="000000"/>
                <w:szCs w:val="21"/>
              </w:rPr>
              <w:t>五年级（语、数）期末考试；</w:t>
            </w:r>
          </w:p>
          <w:p w14:paraId="5CBDD060">
            <w:pPr>
              <w:spacing w:line="400" w:lineRule="exact"/>
              <w:rPr>
                <w:rFonts w:ascii="宋体" w:hAnsi="宋体" w:cs="宋体"/>
                <w:color w:val="000000"/>
                <w:szCs w:val="21"/>
              </w:rPr>
            </w:pPr>
            <w:r>
              <w:rPr>
                <w:rFonts w:hint="eastAsia" w:ascii="宋体" w:hAnsi="宋体" w:cs="宋体"/>
                <w:color w:val="000000"/>
                <w:szCs w:val="21"/>
              </w:rPr>
              <w:t>个人业务考核；</w:t>
            </w:r>
          </w:p>
          <w:p w14:paraId="0FF0BFF5">
            <w:pPr>
              <w:spacing w:line="400" w:lineRule="exact"/>
              <w:rPr>
                <w:rFonts w:ascii="宋体" w:hAnsi="宋体" w:cs="宋体"/>
                <w:color w:val="000000"/>
                <w:szCs w:val="21"/>
              </w:rPr>
            </w:pPr>
            <w:r>
              <w:rPr>
                <w:rFonts w:hint="eastAsia" w:ascii="宋体" w:hAnsi="宋体" w:cs="宋体"/>
                <w:color w:val="000000"/>
                <w:szCs w:val="21"/>
              </w:rPr>
              <w:t>资料归档；</w:t>
            </w:r>
          </w:p>
        </w:tc>
        <w:tc>
          <w:tcPr>
            <w:tcW w:w="2006" w:type="dxa"/>
            <w:tcBorders>
              <w:top w:val="single" w:color="auto" w:sz="4" w:space="0"/>
              <w:left w:val="nil"/>
              <w:bottom w:val="single" w:color="auto" w:sz="4" w:space="0"/>
              <w:right w:val="single" w:color="auto" w:sz="4" w:space="0"/>
            </w:tcBorders>
          </w:tcPr>
          <w:p w14:paraId="69CC3B52">
            <w:pPr>
              <w:spacing w:line="400" w:lineRule="exact"/>
              <w:rPr>
                <w:rFonts w:ascii="宋体" w:hAnsi="宋体" w:cs="宋体"/>
                <w:color w:val="000000"/>
                <w:szCs w:val="21"/>
              </w:rPr>
            </w:pPr>
            <w:r>
              <w:rPr>
                <w:rFonts w:hint="eastAsia" w:ascii="宋体" w:hAnsi="宋体" w:cs="宋体"/>
                <w:color w:val="000000"/>
                <w:szCs w:val="21"/>
              </w:rPr>
              <w:t>备课组；</w:t>
            </w:r>
          </w:p>
          <w:p w14:paraId="464DF4C7">
            <w:pPr>
              <w:spacing w:line="400" w:lineRule="exact"/>
              <w:rPr>
                <w:rFonts w:ascii="宋体" w:hAnsi="宋体" w:cs="宋体"/>
                <w:color w:val="000000"/>
                <w:szCs w:val="21"/>
              </w:rPr>
            </w:pPr>
            <w:r>
              <w:rPr>
                <w:rFonts w:hint="eastAsia" w:ascii="宋体" w:hAnsi="宋体" w:cs="宋体"/>
                <w:color w:val="000000"/>
                <w:szCs w:val="21"/>
              </w:rPr>
              <w:t>教导处</w:t>
            </w:r>
            <w:r>
              <w:rPr>
                <w:rFonts w:ascii="宋体" w:hAnsi="宋体" w:cs="宋体"/>
                <w:color w:val="000000"/>
                <w:szCs w:val="21"/>
              </w:rPr>
              <w:t>；</w:t>
            </w:r>
          </w:p>
          <w:p w14:paraId="164DE3B9">
            <w:pPr>
              <w:spacing w:line="400" w:lineRule="exact"/>
              <w:rPr>
                <w:rFonts w:ascii="宋体" w:hAnsi="宋体" w:cs="宋体"/>
                <w:color w:val="000000"/>
                <w:szCs w:val="21"/>
              </w:rPr>
            </w:pPr>
            <w:r>
              <w:rPr>
                <w:rFonts w:hint="eastAsia" w:ascii="宋体" w:hAnsi="宋体" w:cs="宋体"/>
                <w:color w:val="000000"/>
                <w:szCs w:val="21"/>
              </w:rPr>
              <w:t>教导处</w:t>
            </w:r>
            <w:r>
              <w:rPr>
                <w:rFonts w:ascii="宋体" w:hAnsi="宋体" w:cs="宋体"/>
                <w:color w:val="000000"/>
                <w:szCs w:val="21"/>
              </w:rPr>
              <w:t>；</w:t>
            </w:r>
          </w:p>
        </w:tc>
      </w:tr>
    </w:tbl>
    <w:p w14:paraId="5829008B">
      <w:pPr>
        <w:spacing w:line="360" w:lineRule="auto"/>
        <w:rPr>
          <w:rFonts w:hint="eastAsia" w:ascii="宋体" w:hAnsi="宋体" w:eastAsia="宋体" w:cs="宋体"/>
          <w:sz w:val="24"/>
          <w:szCs w:val="24"/>
          <w:lang w:val="en-US" w:eastAsia="zh-CN"/>
        </w:rPr>
      </w:pPr>
    </w:p>
    <w:p w14:paraId="3FFD745A">
      <w:pPr>
        <w:spacing w:line="360" w:lineRule="auto"/>
        <w:jc w:val="right"/>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金新小学 教导处</w:t>
      </w:r>
    </w:p>
    <w:p w14:paraId="1ED52614">
      <w:pPr>
        <w:spacing w:line="360" w:lineRule="auto"/>
        <w:jc w:val="righ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2024.9</w:t>
      </w:r>
    </w:p>
    <w:p w14:paraId="341CBBF2">
      <w:pPr>
        <w:spacing w:line="360" w:lineRule="auto"/>
        <w:ind w:firstLine="480" w:firstLineChars="200"/>
        <w:rPr>
          <w:rFonts w:hint="eastAsia" w:ascii="宋体" w:hAnsi="宋体" w:eastAsia="宋体" w:cs="宋体"/>
          <w:sz w:val="24"/>
          <w:szCs w:val="24"/>
        </w:rPr>
      </w:pPr>
    </w:p>
    <w:p w14:paraId="239FBDE5">
      <w:pPr>
        <w:spacing w:line="360" w:lineRule="auto"/>
        <w:ind w:firstLine="480" w:firstLineChars="200"/>
        <w:rPr>
          <w:rFonts w:hint="default"/>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3ZTc5MWYzMmVmNzMyYjVjOTkwMmE3OGQ2ZGM0NmIifQ=="/>
  </w:docVars>
  <w:rsids>
    <w:rsidRoot w:val="52CF4BC7"/>
    <w:rsid w:val="003D21B2"/>
    <w:rsid w:val="00F211EF"/>
    <w:rsid w:val="03810CB7"/>
    <w:rsid w:val="10480EE1"/>
    <w:rsid w:val="162C5763"/>
    <w:rsid w:val="1F7204B6"/>
    <w:rsid w:val="23404565"/>
    <w:rsid w:val="23FE1AD5"/>
    <w:rsid w:val="24BF1843"/>
    <w:rsid w:val="2875573B"/>
    <w:rsid w:val="30AC089F"/>
    <w:rsid w:val="3D031AB2"/>
    <w:rsid w:val="453B6B56"/>
    <w:rsid w:val="453F38A4"/>
    <w:rsid w:val="4E2117D1"/>
    <w:rsid w:val="4FB1204A"/>
    <w:rsid w:val="52CF4BC7"/>
    <w:rsid w:val="568A3DE7"/>
    <w:rsid w:val="58964C4B"/>
    <w:rsid w:val="62341981"/>
    <w:rsid w:val="649D18B3"/>
    <w:rsid w:val="656B0139"/>
    <w:rsid w:val="673D0019"/>
    <w:rsid w:val="68B25FB7"/>
    <w:rsid w:val="6B6F4633"/>
    <w:rsid w:val="6C976141"/>
    <w:rsid w:val="6DB8406F"/>
    <w:rsid w:val="76A73C33"/>
    <w:rsid w:val="7D252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2349</Words>
  <Characters>2384</Characters>
  <Lines>0</Lines>
  <Paragraphs>0</Paragraphs>
  <TotalTime>2</TotalTime>
  <ScaleCrop>false</ScaleCrop>
  <LinksUpToDate>false</LinksUpToDate>
  <CharactersWithSpaces>2401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2022-09-06T06:16:00Z</dcterms:created>
  <dc:creator>zouzou</dc:creator>
  <cp:lastModifiedBy>zouzou</cp:lastModifiedBy>
  <dcterms:modified xsi:type="dcterms:W3CDTF">2024-09-24T06:04:04Z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0600E4E0B9CF41D69B2C74F8B2C131BA_13</vt:lpwstr>
  </property>
</Properties>
</file>