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3DE02">
      <w:pPr>
        <w:spacing w:line="36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金新小学2024学年第二学期教导处工作计划</w:t>
      </w:r>
    </w:p>
    <w:p w14:paraId="652CE56D">
      <w:pPr>
        <w:spacing w:line="360" w:lineRule="auto"/>
        <w:ind w:firstLine="482" w:firstLineChars="200"/>
        <w:rPr>
          <w:rFonts w:hint="eastAsia"/>
          <w:b/>
          <w:bCs/>
          <w:sz w:val="24"/>
          <w:szCs w:val="24"/>
          <w:lang w:val="en-US" w:eastAsia="zh-CN"/>
        </w:rPr>
      </w:pPr>
      <w:r>
        <w:rPr>
          <w:rFonts w:hint="eastAsia"/>
          <w:b/>
          <w:bCs/>
          <w:sz w:val="24"/>
          <w:szCs w:val="24"/>
          <w:lang w:val="en-US" w:eastAsia="zh-CN"/>
        </w:rPr>
        <w:t>一、指导思想</w:t>
      </w:r>
    </w:p>
    <w:p w14:paraId="3F1C89C2">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以党的二十届三中全会精神和习近平新时代中国特色社会主义思想为指导，全面贯彻党的教育方针，持续秉持 “稳中求进” 的主基调，深化落实 “双减”“双新” 政策，巩固第一学期教育教学成果，进一步推进课程改革，强化教师专业成长，提升学生综合素质，致力于打造高质量教育体系，办好人民满意的教育。</w:t>
      </w:r>
    </w:p>
    <w:p w14:paraId="44D72BE7">
      <w:pPr>
        <w:spacing w:line="360" w:lineRule="auto"/>
        <w:ind w:firstLine="480" w:firstLineChars="200"/>
        <w:rPr>
          <w:rFonts w:hint="eastAsia"/>
          <w:b w:val="0"/>
          <w:bCs w:val="0"/>
          <w:sz w:val="24"/>
          <w:szCs w:val="24"/>
          <w:lang w:val="en-US" w:eastAsia="zh-CN"/>
        </w:rPr>
      </w:pPr>
    </w:p>
    <w:p w14:paraId="15C207DE">
      <w:pPr>
        <w:spacing w:line="360" w:lineRule="auto"/>
        <w:ind w:firstLine="482" w:firstLineChars="200"/>
        <w:rPr>
          <w:rFonts w:hint="eastAsia"/>
          <w:b/>
          <w:bCs/>
          <w:sz w:val="24"/>
          <w:szCs w:val="24"/>
          <w:lang w:val="en-US" w:eastAsia="zh-CN"/>
        </w:rPr>
      </w:pPr>
      <w:r>
        <w:rPr>
          <w:rFonts w:hint="eastAsia"/>
          <w:b/>
          <w:bCs/>
          <w:sz w:val="24"/>
          <w:szCs w:val="24"/>
          <w:lang w:val="en-US" w:eastAsia="zh-CN"/>
        </w:rPr>
        <w:t>二、工作目标</w:t>
      </w:r>
    </w:p>
    <w:p w14:paraId="7AEAAE3E">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1. 持续深化 “双减” 与 “双新” 工作，巩固并提升教学质量，优化作业管理与教学评价体系，确保教学改革成果的深化与拓展。</w:t>
      </w:r>
    </w:p>
    <w:p w14:paraId="34517D4D">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2. 完善国家课程校本化和校本课程特色化体系，强化课程实施效果，提高学生对课程的参与度和学习收获。</w:t>
      </w:r>
    </w:p>
    <w:p w14:paraId="05F2AA91">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3. 以培养学生核心素养为核心，推动教学方式和学习方式的深度变革，强化项目化学习、跨学科学习和综合性主题活动的实施效果。</w:t>
      </w:r>
    </w:p>
    <w:p w14:paraId="6E37A198">
      <w:pPr>
        <w:spacing w:line="360" w:lineRule="auto"/>
        <w:ind w:firstLine="480" w:firstLineChars="200"/>
        <w:rPr>
          <w:rFonts w:hint="eastAsia"/>
          <w:b w:val="0"/>
          <w:bCs w:val="0"/>
          <w:sz w:val="24"/>
          <w:szCs w:val="24"/>
          <w:lang w:val="en-US" w:eastAsia="zh-CN"/>
        </w:rPr>
      </w:pPr>
    </w:p>
    <w:p w14:paraId="58E2CA2A">
      <w:pPr>
        <w:spacing w:line="360" w:lineRule="auto"/>
        <w:ind w:firstLine="482" w:firstLineChars="200"/>
        <w:rPr>
          <w:rFonts w:hint="eastAsia"/>
          <w:b/>
          <w:bCs/>
          <w:sz w:val="24"/>
          <w:szCs w:val="24"/>
          <w:lang w:val="en-US" w:eastAsia="zh-CN"/>
        </w:rPr>
      </w:pPr>
      <w:r>
        <w:rPr>
          <w:rFonts w:hint="eastAsia"/>
          <w:b/>
          <w:bCs/>
          <w:sz w:val="24"/>
          <w:szCs w:val="24"/>
          <w:lang w:val="en-US" w:eastAsia="zh-CN"/>
        </w:rPr>
        <w:t>三、主要工作</w:t>
      </w:r>
    </w:p>
    <w:p w14:paraId="7F01A5F2">
      <w:pPr>
        <w:spacing w:line="360" w:lineRule="auto"/>
        <w:ind w:firstLine="482" w:firstLineChars="200"/>
        <w:rPr>
          <w:rFonts w:hint="eastAsia"/>
          <w:b/>
          <w:bCs/>
          <w:sz w:val="24"/>
          <w:szCs w:val="24"/>
          <w:lang w:val="en-US" w:eastAsia="zh-CN"/>
        </w:rPr>
      </w:pPr>
      <w:r>
        <w:rPr>
          <w:rFonts w:hint="eastAsia"/>
          <w:b/>
          <w:bCs/>
          <w:sz w:val="24"/>
          <w:szCs w:val="24"/>
          <w:lang w:val="en-US" w:eastAsia="zh-CN"/>
        </w:rPr>
        <w:t>（一）精细把控教学常规，夯实教学基础</w:t>
      </w:r>
    </w:p>
    <w:p w14:paraId="797A69B3">
      <w:pPr>
        <w:spacing w:line="360" w:lineRule="auto"/>
        <w:ind w:firstLine="480" w:firstLineChars="200"/>
        <w:rPr>
          <w:rFonts w:hint="eastAsia" w:eastAsia="宋体"/>
          <w:b w:val="0"/>
          <w:bCs w:val="0"/>
          <w:sz w:val="24"/>
          <w:szCs w:val="24"/>
          <w:lang w:val="en-US" w:eastAsia="zh-CN"/>
        </w:rPr>
      </w:pPr>
      <w:r>
        <w:rPr>
          <w:rFonts w:hint="eastAsia" w:ascii="Calibri" w:hAnsi="Calibri" w:eastAsia="宋体" w:cs="Times New Roman"/>
          <w:b w:val="0"/>
          <w:bCs w:val="0"/>
          <w:kern w:val="2"/>
          <w:sz w:val="24"/>
          <w:szCs w:val="24"/>
          <w:lang w:val="en-US" w:eastAsia="zh-CN" w:bidi="ar-SA"/>
        </w:rPr>
        <w:t>教学常规是教学工作的基本规范，是保障教学质量和提升教育水平的重要基石。</w:t>
      </w:r>
      <w:r>
        <w:rPr>
          <w:rFonts w:hint="eastAsia" w:ascii="Calibri" w:hAnsi="Calibri" w:eastAsia="宋体" w:cs="Times New Roman"/>
          <w:b w:val="0"/>
          <w:bCs w:val="0"/>
          <w:kern w:val="2"/>
          <w:sz w:val="24"/>
          <w:szCs w:val="24"/>
          <w:lang w:eastAsia="zh-CN" w:bidi="ar-SA"/>
        </w:rPr>
        <w:t>各年级组、教研组应严格按照课程标准和教学计划，科学合理地安排教学活动，确保教学进度的有序进行。同时，加强对教师教学行为的监督和管理，确保教学常规的严格执行。通过定期开展教学常规检查、</w:t>
      </w:r>
      <w:r>
        <w:rPr>
          <w:rFonts w:ascii="Calibri" w:hAnsi="Calibri" w:eastAsia="宋体" w:cs="Times New Roman"/>
          <w:b w:val="0"/>
          <w:bCs w:val="0"/>
          <w:kern w:val="2"/>
          <w:sz w:val="24"/>
          <w:szCs w:val="24"/>
          <w:lang w:bidi="ar-SA"/>
        </w:rPr>
        <w:t>包括教案的规范性与创新性、课堂教学的互动性与有效性，以及作业批改的及时性与准确性。建立详尽的检查记录档案，确保教学活动遵循既定规范，有序进行。每次检查结束后，结合书面报告和面对面交流，为教师提供及时的、针对性</w:t>
      </w:r>
      <w:r>
        <w:rPr>
          <w:rFonts w:hint="eastAsia" w:ascii="Calibri" w:hAnsi="Calibri" w:eastAsia="宋体" w:cs="Times New Roman"/>
          <w:b w:val="0"/>
          <w:bCs w:val="0"/>
          <w:kern w:val="2"/>
          <w:sz w:val="24"/>
          <w:szCs w:val="24"/>
          <w:lang w:eastAsia="zh-CN" w:bidi="ar-SA"/>
        </w:rPr>
        <w:t>地</w:t>
      </w:r>
      <w:r>
        <w:rPr>
          <w:rFonts w:ascii="Calibri" w:hAnsi="Calibri" w:eastAsia="宋体" w:cs="Times New Roman"/>
          <w:b w:val="0"/>
          <w:bCs w:val="0"/>
          <w:kern w:val="2"/>
          <w:sz w:val="24"/>
          <w:szCs w:val="24"/>
          <w:lang w:bidi="ar-SA"/>
        </w:rPr>
        <w:t>指导和建议。同时，对教师的教学行为进行</w:t>
      </w:r>
      <w:r>
        <w:rPr>
          <w:rFonts w:hint="eastAsia" w:ascii="Calibri" w:hAnsi="Calibri" w:eastAsia="宋体" w:cs="Times New Roman"/>
          <w:b w:val="0"/>
          <w:bCs w:val="0"/>
          <w:kern w:val="2"/>
          <w:sz w:val="24"/>
          <w:szCs w:val="24"/>
          <w:lang w:val="en-US" w:eastAsia="zh-CN" w:bidi="ar-SA"/>
        </w:rPr>
        <w:t>巡查</w:t>
      </w:r>
      <w:r>
        <w:rPr>
          <w:rFonts w:ascii="Calibri" w:hAnsi="Calibri" w:eastAsia="宋体" w:cs="Times New Roman"/>
          <w:b w:val="0"/>
          <w:bCs w:val="0"/>
          <w:kern w:val="2"/>
          <w:sz w:val="24"/>
          <w:szCs w:val="24"/>
          <w:lang w:bidi="ar-SA"/>
        </w:rPr>
        <w:t>，确保教学时间得到高效利用，防止教学事故的发生</w:t>
      </w:r>
      <w:r>
        <w:rPr>
          <w:rFonts w:hint="eastAsia" w:ascii="Calibri" w:hAnsi="Calibri" w:eastAsia="宋体" w:cs="Times New Roman"/>
          <w:b w:val="0"/>
          <w:bCs w:val="0"/>
          <w:kern w:val="2"/>
          <w:sz w:val="24"/>
          <w:szCs w:val="24"/>
          <w:lang w:eastAsia="zh-CN" w:bidi="ar-SA"/>
        </w:rPr>
        <w:t>。</w:t>
      </w:r>
    </w:p>
    <w:p w14:paraId="4DCFDE63">
      <w:pPr>
        <w:spacing w:line="360" w:lineRule="auto"/>
        <w:ind w:firstLine="482" w:firstLineChars="200"/>
        <w:rPr>
          <w:rFonts w:hint="eastAsia"/>
          <w:b/>
          <w:bCs/>
          <w:sz w:val="24"/>
          <w:szCs w:val="24"/>
          <w:lang w:val="en-US" w:eastAsia="zh-CN"/>
        </w:rPr>
      </w:pPr>
      <w:r>
        <w:rPr>
          <w:rFonts w:hint="eastAsia"/>
          <w:b/>
          <w:bCs/>
          <w:sz w:val="24"/>
          <w:szCs w:val="24"/>
          <w:lang w:val="en-US" w:eastAsia="zh-CN"/>
        </w:rPr>
        <w:t>（二）深耕课程改革，推动教育创新</w:t>
      </w:r>
    </w:p>
    <w:p w14:paraId="6D5E19DB">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为适应教育发展需求，激发教育创新活力，课程发展处定期组织教师开展国家课程校本化实施的研讨与交流活动，邀请课程专家进行案例分析与指导，鼓励教师分享优秀案例和经验，促进课程实施的整体优化，使其更贴合本校学生的学习需求与特点。</w:t>
      </w:r>
    </w:p>
    <w:p w14:paraId="4E1A477E">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新课程方案中增加了校本课程，为进一步完善校本课程体系，明确课程目标、内容框架与评价标准，加强校本课程的教学管理和质量评估，每学期开展一次校本课程教学成果展示活动，确保校本课程的教学效果。设立课程开发专项奖励，鼓励教师开发新的特色校本课程，满足学生多样化的学习需求。</w:t>
      </w:r>
    </w:p>
    <w:p w14:paraId="13CA2098">
      <w:pPr>
        <w:spacing w:line="360" w:lineRule="auto"/>
        <w:ind w:firstLine="482" w:firstLineChars="200"/>
        <w:rPr>
          <w:rFonts w:hint="eastAsia"/>
          <w:b/>
          <w:bCs/>
          <w:sz w:val="24"/>
          <w:szCs w:val="24"/>
          <w:lang w:val="en-US" w:eastAsia="zh-CN"/>
        </w:rPr>
      </w:pPr>
      <w:r>
        <w:rPr>
          <w:rFonts w:hint="eastAsia"/>
          <w:b/>
          <w:bCs/>
          <w:sz w:val="24"/>
          <w:szCs w:val="24"/>
          <w:lang w:val="en-US" w:eastAsia="zh-CN"/>
        </w:rPr>
        <w:t>（三）构建多元评价体系，精准评估教学成效</w:t>
      </w:r>
    </w:p>
    <w:p w14:paraId="26163AEF">
      <w:pPr>
        <w:spacing w:line="360" w:lineRule="auto"/>
        <w:ind w:firstLine="480" w:firstLineChars="200"/>
        <w:rPr>
          <w:rFonts w:ascii="Calibri" w:hAnsi="Calibri" w:eastAsia="宋体" w:cs="Times New Roman"/>
          <w:b w:val="0"/>
          <w:bCs w:val="0"/>
          <w:kern w:val="2"/>
          <w:sz w:val="24"/>
          <w:szCs w:val="24"/>
          <w:lang w:bidi="ar-SA"/>
        </w:rPr>
      </w:pPr>
      <w:r>
        <w:rPr>
          <w:rFonts w:ascii="Calibri" w:hAnsi="Calibri" w:eastAsia="宋体" w:cs="Times New Roman"/>
          <w:b w:val="0"/>
          <w:bCs w:val="0"/>
          <w:kern w:val="2"/>
          <w:sz w:val="24"/>
          <w:szCs w:val="24"/>
          <w:lang w:bidi="ar-SA"/>
        </w:rPr>
        <w:t>为了更全面和精确地评估教学成效，</w:t>
      </w:r>
      <w:r>
        <w:rPr>
          <w:rFonts w:hint="eastAsia" w:ascii="Calibri" w:hAnsi="Calibri" w:eastAsia="宋体" w:cs="Times New Roman"/>
          <w:b w:val="0"/>
          <w:bCs w:val="0"/>
          <w:kern w:val="2"/>
          <w:sz w:val="24"/>
          <w:szCs w:val="24"/>
          <w:lang w:val="en-US" w:eastAsia="zh-CN" w:bidi="ar-SA"/>
        </w:rPr>
        <w:t>需</w:t>
      </w:r>
      <w:r>
        <w:rPr>
          <w:rFonts w:ascii="Calibri" w:hAnsi="Calibri" w:eastAsia="宋体" w:cs="Times New Roman"/>
          <w:b w:val="0"/>
          <w:bCs w:val="0"/>
          <w:kern w:val="2"/>
          <w:sz w:val="24"/>
          <w:szCs w:val="24"/>
          <w:lang w:bidi="ar-SA"/>
        </w:rPr>
        <w:t>构建一个科学合理的多元评价体系除了传统的考试成绩，还应包括课堂表现、作业完成质量、小组合作能力等过程性评价指标。通过结合过程性评价和终结性评价，可以全面和客观地评价学生的学习成果以及教师的教学质量。</w:t>
      </w:r>
    </w:p>
    <w:p w14:paraId="55ADCD79">
      <w:pPr>
        <w:widowControl w:val="0"/>
        <w:bidi w:val="0"/>
        <w:spacing w:line="360" w:lineRule="auto"/>
        <w:ind w:firstLine="480" w:firstLineChars="200"/>
        <w:jc w:val="both"/>
        <w:rPr>
          <w:rFonts w:hint="eastAsia"/>
          <w:b w:val="0"/>
          <w:bCs w:val="0"/>
          <w:sz w:val="24"/>
          <w:szCs w:val="24"/>
          <w:lang w:val="en-US" w:eastAsia="zh-CN"/>
        </w:rPr>
      </w:pPr>
      <w:r>
        <w:rPr>
          <w:rFonts w:ascii="Calibri" w:hAnsi="Calibri" w:eastAsia="宋体" w:cs="Times New Roman"/>
          <w:b w:val="0"/>
          <w:bCs w:val="0"/>
          <w:kern w:val="2"/>
          <w:sz w:val="24"/>
          <w:szCs w:val="24"/>
          <w:lang w:bidi="ar-SA"/>
        </w:rPr>
        <w:t>加强对评价结果的分析和应用至关重要。利用专业的教育数据分析工具，深入挖掘数据背后的教学问题，为教学改进提供坚实依据，从而促进教师教学策略的调整和学生学习方法的优化。定期举行教学评价结果分析会议，共同探讨教学改进的方向。</w:t>
      </w:r>
    </w:p>
    <w:p w14:paraId="18525031">
      <w:pPr>
        <w:spacing w:line="360" w:lineRule="auto"/>
        <w:ind w:firstLine="482" w:firstLineChars="200"/>
        <w:rPr>
          <w:rFonts w:hint="eastAsia"/>
          <w:b/>
          <w:bCs/>
          <w:sz w:val="24"/>
          <w:szCs w:val="24"/>
          <w:lang w:val="en-US" w:eastAsia="zh-CN"/>
        </w:rPr>
      </w:pPr>
      <w:r>
        <w:rPr>
          <w:rFonts w:hint="eastAsia"/>
          <w:b/>
          <w:bCs/>
          <w:sz w:val="24"/>
          <w:szCs w:val="24"/>
          <w:lang w:val="en-US" w:eastAsia="zh-CN"/>
        </w:rPr>
        <w:t>（四）深化劳动教育实践，培育全面发展人才</w:t>
      </w:r>
    </w:p>
    <w:p w14:paraId="2847757E">
      <w:pPr>
        <w:keepNext w:val="0"/>
        <w:keepLines w:val="0"/>
        <w:widowControl/>
        <w:suppressLineNumbers w:val="0"/>
        <w:spacing w:line="360" w:lineRule="auto"/>
        <w:ind w:firstLine="480" w:firstLineChars="200"/>
        <w:jc w:val="left"/>
        <w:rPr>
          <w:rFonts w:hint="eastAsia"/>
          <w:b w:val="0"/>
          <w:bCs w:val="0"/>
          <w:sz w:val="24"/>
          <w:szCs w:val="24"/>
          <w:lang w:val="en-US" w:eastAsia="zh-CN"/>
        </w:rPr>
      </w:pPr>
      <w:r>
        <w:rPr>
          <w:rFonts w:ascii="宋体" w:hAnsi="宋体" w:eastAsia="宋体" w:cs="宋体"/>
          <w:kern w:val="0"/>
          <w:sz w:val="24"/>
          <w:szCs w:val="24"/>
          <w:lang w:bidi="ar"/>
        </w:rPr>
        <w:t>为了推动学生的全面发展，进一步深化劳动教育的实践活动，培育学生的劳动意识和技能。基于学校的实际情况和学生的个性特点，制定出详尽的劳动实践活动计划，开展形式多样的劳动活动，例如校园绿化养护、社区垃圾分类宣传等，培养学生的劳动意识和实际操作能力。同时，建立一套完善的劳动教育评价体系，从劳动态度、技能掌握、成果展示等多个维度对学生劳动表现进行综合评价，并将劳动教育成果纳入学生综合素质评价体系中</w:t>
      </w:r>
      <w:r>
        <w:rPr>
          <w:rFonts w:hint="eastAsia" w:ascii="宋体" w:hAnsi="宋体" w:eastAsia="宋体" w:cs="宋体"/>
          <w:kern w:val="0"/>
          <w:sz w:val="24"/>
          <w:szCs w:val="24"/>
          <w:lang w:eastAsia="zh-CN" w:bidi="ar"/>
        </w:rPr>
        <w:t>，</w:t>
      </w:r>
      <w:r>
        <w:rPr>
          <w:rFonts w:ascii="宋体" w:hAnsi="宋体" w:eastAsia="宋体" w:cs="宋体"/>
          <w:kern w:val="0"/>
          <w:sz w:val="24"/>
          <w:szCs w:val="24"/>
          <w:lang w:bidi="ar"/>
        </w:rPr>
        <w:t>设立“劳动之星”等荣誉称号，以激发学生积极参与劳动实践的热情。</w:t>
      </w:r>
    </w:p>
    <w:p w14:paraId="399AF103">
      <w:pPr>
        <w:spacing w:line="360" w:lineRule="auto"/>
        <w:ind w:firstLine="482" w:firstLineChars="200"/>
        <w:rPr>
          <w:rFonts w:hint="eastAsia"/>
          <w:b/>
          <w:bCs/>
          <w:sz w:val="24"/>
          <w:szCs w:val="24"/>
          <w:lang w:val="en-US" w:eastAsia="zh-CN"/>
        </w:rPr>
      </w:pPr>
      <w:r>
        <w:rPr>
          <w:rFonts w:hint="eastAsia"/>
          <w:b/>
          <w:bCs/>
          <w:sz w:val="24"/>
          <w:szCs w:val="24"/>
          <w:lang w:val="en-US" w:eastAsia="zh-CN"/>
        </w:rPr>
        <w:t>（五）丰富校园文化活动，营造多彩育人氛围</w:t>
      </w:r>
    </w:p>
    <w:p w14:paraId="269F11BC">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继续举办各类校园文化活动，本学期有艺术节、体育节和数学周，提前制定活动策划方案，明确活动目标、流程与参与方式，为学生提供展示自我的平台，丰富校园文化生活。加强活动的组织与策划，注重活动的教育性和实效性，将学科知识与传统文化有机结合，如在体育周时，举办传统游戏大比拼，组织跳皮筋、丢沙包、踢毽子等传统游戏比赛，让学生在欢乐竞技中感受传统体育文化魅力；艺术节期间，开展小小非遗传承人体验活动，邀请民间艺人进校开展剪纸、捏面人等非遗技艺体验课程，还可组织经典诗词情景演绎，让学生分组演绎熟悉的诗词，以艺术形式展现传统文化；数学周则能从传统文化中挖掘数学元素，比如引入古代数学名题，像 “鸡兔同笼” 问题，让学生尝试用古人的解题思路去解答，感受古代数学智慧 。在每个</w:t>
      </w:r>
      <w:bookmarkStart w:id="0" w:name="_GoBack"/>
      <w:bookmarkEnd w:id="0"/>
      <w:r>
        <w:rPr>
          <w:rFonts w:hint="eastAsia"/>
          <w:b w:val="0"/>
          <w:bCs w:val="0"/>
          <w:sz w:val="24"/>
          <w:szCs w:val="24"/>
          <w:lang w:val="en-US" w:eastAsia="zh-CN"/>
        </w:rPr>
        <w:t>活动结束后及时总结反思，不断优化活动方案。</w:t>
      </w:r>
    </w:p>
    <w:p w14:paraId="6CC11B8A">
      <w:pPr>
        <w:spacing w:line="360" w:lineRule="auto"/>
        <w:ind w:firstLine="482" w:firstLineChars="200"/>
        <w:rPr>
          <w:rFonts w:hint="eastAsia"/>
          <w:b/>
          <w:bCs/>
          <w:sz w:val="24"/>
          <w:szCs w:val="24"/>
          <w:lang w:val="en-US" w:eastAsia="zh-CN"/>
        </w:rPr>
      </w:pPr>
      <w:r>
        <w:rPr>
          <w:rFonts w:hint="eastAsia"/>
          <w:b/>
          <w:bCs/>
          <w:sz w:val="24"/>
          <w:szCs w:val="24"/>
          <w:lang w:val="en-US" w:eastAsia="zh-CN"/>
        </w:rPr>
        <w:t>（七）落实绿色指标测试，科学评估教学质量</w:t>
      </w:r>
    </w:p>
    <w:p w14:paraId="4F081430">
      <w:pPr>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本学期有四年级学生的绿色指标测试工作，绿标测试是对教学质量和学生学习状况的一次全面体检。通过绿色指标测试，可以科学地评估学生在知识掌握、能力发展、情感态度等多个维度上的表现，为教师提供精准的教学反馈，从而指导后续教学策略的调整和优化。课程发展处要提前做好绿色指标测试的各项准备工作，组织教师学习绿色指标测试的相关内容和要求，确保测试过程的规范性和准确性。对学生进行考前指导，帮助学生了解测试的目的、形式和注意事项，以良好的心态参加测试。</w:t>
      </w:r>
    </w:p>
    <w:p w14:paraId="37803678">
      <w:pPr>
        <w:spacing w:line="360" w:lineRule="auto"/>
        <w:ind w:firstLine="480" w:firstLineChars="200"/>
        <w:rPr>
          <w:rFonts w:hint="eastAsia"/>
          <w:b w:val="0"/>
          <w:bCs w:val="0"/>
          <w:sz w:val="24"/>
          <w:szCs w:val="24"/>
          <w:lang w:val="en-US" w:eastAsia="zh-CN"/>
        </w:rPr>
      </w:pPr>
    </w:p>
    <w:p w14:paraId="112B2DF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四、其他工作</w:t>
      </w:r>
    </w:p>
    <w:p w14:paraId="553F40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严格按照相关政策，规范学籍管理，完成五年级毕业生制证，小升初等工作，做好转进、转出等各类学籍管理工作。</w:t>
      </w:r>
    </w:p>
    <w:p w14:paraId="7623BE78">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 一年级招生工作。</w:t>
      </w:r>
    </w:p>
    <w:p w14:paraId="69E2A5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3. </w:t>
      </w:r>
      <w:r>
        <w:rPr>
          <w:rFonts w:hint="eastAsia" w:ascii="宋体" w:hAnsi="宋体" w:eastAsia="宋体" w:cs="宋体"/>
          <w:color w:val="auto"/>
          <w:sz w:val="24"/>
          <w:szCs w:val="24"/>
        </w:rPr>
        <w:t>一、二年级游园活动。</w:t>
      </w:r>
    </w:p>
    <w:p w14:paraId="2F6F0FE2">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 xml:space="preserve">4. </w:t>
      </w:r>
      <w:r>
        <w:rPr>
          <w:rFonts w:hint="eastAsia" w:ascii="宋体" w:hAnsi="宋体" w:eastAsia="宋体" w:cs="宋体"/>
          <w:color w:val="auto"/>
          <w:sz w:val="24"/>
        </w:rPr>
        <w:t>五年级毕业</w:t>
      </w:r>
      <w:r>
        <w:rPr>
          <w:rFonts w:hint="eastAsia" w:ascii="宋体" w:hAnsi="宋体" w:eastAsia="宋体" w:cs="宋体"/>
          <w:color w:val="auto"/>
          <w:sz w:val="24"/>
          <w:lang w:val="en-US" w:eastAsia="zh-CN"/>
        </w:rPr>
        <w:t>生</w:t>
      </w:r>
      <w:r>
        <w:rPr>
          <w:rFonts w:hint="eastAsia" w:ascii="宋体" w:hAnsi="宋体" w:eastAsia="宋体" w:cs="宋体"/>
          <w:color w:val="auto"/>
          <w:sz w:val="24"/>
        </w:rPr>
        <w:t>工作</w:t>
      </w:r>
      <w:r>
        <w:rPr>
          <w:rFonts w:hint="eastAsia" w:ascii="宋体" w:hAnsi="宋体" w:eastAsia="宋体" w:cs="宋体"/>
          <w:color w:val="auto"/>
          <w:sz w:val="24"/>
          <w:lang w:eastAsia="zh-CN"/>
        </w:rPr>
        <w:t>。</w:t>
      </w:r>
    </w:p>
    <w:p w14:paraId="7804D5F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 xml:space="preserve">5. </w:t>
      </w:r>
      <w:r>
        <w:rPr>
          <w:rFonts w:hint="eastAsia" w:ascii="宋体" w:hAnsi="宋体" w:eastAsia="宋体" w:cs="宋体"/>
          <w:color w:val="auto"/>
          <w:sz w:val="24"/>
        </w:rPr>
        <w:t>学籍管理工作</w:t>
      </w:r>
      <w:r>
        <w:rPr>
          <w:rFonts w:hint="eastAsia" w:ascii="宋体" w:hAnsi="宋体" w:eastAsia="宋体" w:cs="宋体"/>
          <w:color w:val="auto"/>
          <w:sz w:val="24"/>
          <w:lang w:eastAsia="zh-CN"/>
        </w:rPr>
        <w:t>。</w:t>
      </w:r>
    </w:p>
    <w:p w14:paraId="69D0BB15">
      <w:pPr>
        <w:spacing w:line="360" w:lineRule="auto"/>
        <w:ind w:firstLine="480" w:firstLineChars="200"/>
        <w:rPr>
          <w:rFonts w:hint="eastAsia" w:ascii="宋体" w:hAnsi="宋体" w:eastAsia="宋体" w:cs="宋体"/>
          <w:sz w:val="24"/>
          <w:szCs w:val="24"/>
        </w:rPr>
      </w:pPr>
    </w:p>
    <w:p w14:paraId="38730C06">
      <w:pPr>
        <w:spacing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五、时间安排</w:t>
      </w:r>
    </w:p>
    <w:tbl>
      <w:tblPr>
        <w:tblStyle w:val="5"/>
        <w:tblW w:w="0" w:type="auto"/>
        <w:jc w:val="center"/>
        <w:tblLayout w:type="fixed"/>
        <w:tblCellMar>
          <w:top w:w="0" w:type="dxa"/>
          <w:left w:w="108" w:type="dxa"/>
          <w:bottom w:w="0" w:type="dxa"/>
          <w:right w:w="108" w:type="dxa"/>
        </w:tblCellMar>
      </w:tblPr>
      <w:tblGrid>
        <w:gridCol w:w="1284"/>
        <w:gridCol w:w="4857"/>
        <w:gridCol w:w="2006"/>
      </w:tblGrid>
      <w:tr w14:paraId="40D06A87">
        <w:tblPrEx>
          <w:tblCellMar>
            <w:top w:w="0" w:type="dxa"/>
            <w:left w:w="108" w:type="dxa"/>
            <w:bottom w:w="0" w:type="dxa"/>
            <w:right w:w="108" w:type="dxa"/>
          </w:tblCellMar>
        </w:tblPrEx>
        <w:trPr>
          <w:trHeight w:val="285" w:hRule="atLeast"/>
          <w:jc w:val="center"/>
        </w:trPr>
        <w:tc>
          <w:tcPr>
            <w:tcW w:w="1284" w:type="dxa"/>
            <w:tcBorders>
              <w:top w:val="single" w:color="auto" w:sz="4" w:space="0"/>
              <w:left w:val="single" w:color="auto" w:sz="4" w:space="0"/>
              <w:bottom w:val="single" w:color="auto" w:sz="4" w:space="0"/>
              <w:right w:val="single" w:color="auto" w:sz="4" w:space="0"/>
            </w:tcBorders>
            <w:noWrap/>
            <w:vAlign w:val="center"/>
          </w:tcPr>
          <w:p w14:paraId="32864F1C">
            <w:pPr>
              <w:spacing w:line="400" w:lineRule="exact"/>
              <w:jc w:val="center"/>
              <w:rPr>
                <w:rFonts w:ascii="宋体" w:hAnsi="宋体" w:cs="宋体"/>
                <w:color w:val="000000"/>
                <w:szCs w:val="21"/>
              </w:rPr>
            </w:pPr>
            <w:r>
              <w:rPr>
                <w:rFonts w:hint="eastAsia" w:ascii="宋体" w:hAnsi="宋体"/>
                <w:color w:val="000000"/>
                <w:szCs w:val="21"/>
              </w:rPr>
              <w:t>周次</w:t>
            </w:r>
          </w:p>
        </w:tc>
        <w:tc>
          <w:tcPr>
            <w:tcW w:w="4857" w:type="dxa"/>
            <w:tcBorders>
              <w:top w:val="single" w:color="auto" w:sz="4" w:space="0"/>
              <w:left w:val="nil"/>
              <w:bottom w:val="single" w:color="auto" w:sz="4" w:space="0"/>
              <w:right w:val="single" w:color="auto" w:sz="4" w:space="0"/>
            </w:tcBorders>
            <w:noWrap/>
            <w:vAlign w:val="center"/>
          </w:tcPr>
          <w:p w14:paraId="6C12AD43">
            <w:pPr>
              <w:spacing w:line="400" w:lineRule="exact"/>
              <w:jc w:val="center"/>
              <w:rPr>
                <w:rFonts w:ascii="宋体" w:hAnsi="宋体" w:cs="宋体"/>
                <w:color w:val="000000"/>
                <w:szCs w:val="21"/>
              </w:rPr>
            </w:pPr>
            <w:r>
              <w:rPr>
                <w:rFonts w:hint="eastAsia" w:ascii="宋体" w:hAnsi="宋体"/>
                <w:color w:val="000000"/>
                <w:szCs w:val="21"/>
              </w:rPr>
              <w:t>项目</w:t>
            </w:r>
          </w:p>
        </w:tc>
        <w:tc>
          <w:tcPr>
            <w:tcW w:w="2006" w:type="dxa"/>
            <w:tcBorders>
              <w:top w:val="single" w:color="auto" w:sz="4" w:space="0"/>
              <w:left w:val="nil"/>
              <w:bottom w:val="single" w:color="auto" w:sz="4" w:space="0"/>
              <w:right w:val="single" w:color="auto" w:sz="4" w:space="0"/>
            </w:tcBorders>
            <w:noWrap/>
            <w:vAlign w:val="center"/>
          </w:tcPr>
          <w:p w14:paraId="254FD71B">
            <w:pPr>
              <w:spacing w:line="400" w:lineRule="exact"/>
              <w:jc w:val="center"/>
              <w:rPr>
                <w:rFonts w:ascii="宋体" w:hAnsi="宋体" w:cs="宋体"/>
                <w:color w:val="000000"/>
                <w:szCs w:val="21"/>
              </w:rPr>
            </w:pPr>
            <w:r>
              <w:rPr>
                <w:rFonts w:hint="eastAsia" w:ascii="宋体" w:hAnsi="宋体"/>
                <w:color w:val="000000"/>
                <w:szCs w:val="21"/>
              </w:rPr>
              <w:t>责任人</w:t>
            </w:r>
          </w:p>
        </w:tc>
      </w:tr>
      <w:tr w14:paraId="5A413FA6">
        <w:tblPrEx>
          <w:tblCellMar>
            <w:top w:w="0" w:type="dxa"/>
            <w:left w:w="108" w:type="dxa"/>
            <w:bottom w:w="0" w:type="dxa"/>
            <w:right w:w="108" w:type="dxa"/>
          </w:tblCellMar>
        </w:tblPrEx>
        <w:trPr>
          <w:trHeight w:val="440" w:hRule="atLeast"/>
          <w:jc w:val="center"/>
        </w:trPr>
        <w:tc>
          <w:tcPr>
            <w:tcW w:w="1284" w:type="dxa"/>
            <w:tcBorders>
              <w:top w:val="nil"/>
              <w:left w:val="single" w:color="auto" w:sz="4" w:space="0"/>
              <w:bottom w:val="single" w:color="auto" w:sz="4" w:space="0"/>
              <w:right w:val="single" w:color="auto" w:sz="4" w:space="0"/>
            </w:tcBorders>
            <w:noWrap/>
            <w:vAlign w:val="center"/>
          </w:tcPr>
          <w:p w14:paraId="73D5D53C">
            <w:pPr>
              <w:spacing w:line="400" w:lineRule="exact"/>
              <w:jc w:val="center"/>
              <w:rPr>
                <w:rFonts w:ascii="宋体" w:hAnsi="宋体"/>
                <w:color w:val="000000"/>
                <w:szCs w:val="21"/>
              </w:rPr>
            </w:pPr>
            <w:r>
              <w:rPr>
                <w:rFonts w:hint="eastAsia" w:ascii="宋体" w:hAnsi="宋体"/>
                <w:color w:val="000000"/>
                <w:szCs w:val="21"/>
              </w:rPr>
              <w:t>第1周</w:t>
            </w:r>
          </w:p>
        </w:tc>
        <w:tc>
          <w:tcPr>
            <w:tcW w:w="4857" w:type="dxa"/>
            <w:tcBorders>
              <w:top w:val="nil"/>
              <w:left w:val="nil"/>
              <w:bottom w:val="single" w:color="auto" w:sz="4" w:space="0"/>
              <w:right w:val="single" w:color="auto" w:sz="4" w:space="0"/>
            </w:tcBorders>
            <w:vAlign w:val="center"/>
          </w:tcPr>
          <w:p w14:paraId="19778A03">
            <w:pPr>
              <w:spacing w:line="400" w:lineRule="exact"/>
              <w:rPr>
                <w:rFonts w:hint="eastAsia" w:ascii="宋体" w:hAnsi="宋体" w:eastAsiaTheme="minorEastAsia"/>
                <w:color w:val="000000"/>
                <w:szCs w:val="21"/>
                <w:lang w:eastAsia="zh-CN"/>
              </w:rPr>
            </w:pPr>
            <w:r>
              <w:rPr>
                <w:rFonts w:ascii="宋体" w:hAnsi="宋体"/>
                <w:color w:val="000000"/>
                <w:szCs w:val="21"/>
              </w:rPr>
              <w:t>备课组活动</w:t>
            </w:r>
            <w:r>
              <w:rPr>
                <w:rFonts w:hint="eastAsia" w:ascii="宋体" w:hAnsi="宋体"/>
                <w:color w:val="000000"/>
                <w:szCs w:val="21"/>
                <w:lang w:eastAsia="zh-CN"/>
              </w:rPr>
              <w:t>；</w:t>
            </w:r>
          </w:p>
          <w:p w14:paraId="5E098651">
            <w:pPr>
              <w:spacing w:line="400" w:lineRule="exact"/>
              <w:rPr>
                <w:rFonts w:hint="eastAsia" w:ascii="宋体" w:hAnsi="宋体"/>
                <w:color w:val="000000"/>
                <w:szCs w:val="21"/>
                <w:lang w:val="en-US" w:eastAsia="zh-CN"/>
              </w:rPr>
            </w:pPr>
            <w:r>
              <w:rPr>
                <w:rFonts w:hint="eastAsia" w:ascii="宋体" w:hAnsi="宋体"/>
                <w:color w:val="000000"/>
                <w:szCs w:val="21"/>
                <w:lang w:val="en-US" w:eastAsia="zh-CN"/>
              </w:rPr>
              <w:t>全校学生注册，五年级毕业生信息核对；</w:t>
            </w:r>
          </w:p>
          <w:p w14:paraId="6F9E08C8">
            <w:pPr>
              <w:spacing w:line="400" w:lineRule="exact"/>
              <w:rPr>
                <w:rFonts w:hint="default" w:ascii="宋体" w:hAnsi="宋体"/>
                <w:color w:val="000000"/>
                <w:szCs w:val="21"/>
                <w:lang w:val="en-US" w:eastAsia="zh-CN"/>
              </w:rPr>
            </w:pPr>
            <w:r>
              <w:rPr>
                <w:rFonts w:hint="eastAsia" w:ascii="宋体" w:hAnsi="宋体"/>
                <w:color w:val="000000"/>
                <w:szCs w:val="21"/>
                <w:lang w:val="en-US" w:eastAsia="zh-CN"/>
              </w:rPr>
              <w:t>制定教导处工作计划；</w:t>
            </w:r>
          </w:p>
        </w:tc>
        <w:tc>
          <w:tcPr>
            <w:tcW w:w="2006" w:type="dxa"/>
            <w:tcBorders>
              <w:top w:val="nil"/>
              <w:left w:val="nil"/>
              <w:bottom w:val="single" w:color="auto" w:sz="4" w:space="0"/>
              <w:right w:val="single" w:color="auto" w:sz="4" w:space="0"/>
            </w:tcBorders>
            <w:noWrap/>
            <w:vAlign w:val="center"/>
          </w:tcPr>
          <w:p w14:paraId="0D476E10">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、备课组；</w:t>
            </w:r>
          </w:p>
          <w:p w14:paraId="2091BEAC">
            <w:pPr>
              <w:spacing w:line="400" w:lineRule="exact"/>
              <w:rPr>
                <w:rFonts w:hint="eastAsia" w:ascii="宋体" w:hAnsi="宋体" w:cs="宋体" w:eastAsiaTheme="minorEastAsia"/>
                <w:color w:val="000000"/>
                <w:szCs w:val="21"/>
                <w:lang w:val="en-US" w:eastAsia="zh-CN"/>
              </w:rPr>
            </w:pPr>
            <w:r>
              <w:rPr>
                <w:rFonts w:hint="eastAsia" w:ascii="宋体" w:hAnsi="宋体" w:cs="宋体"/>
                <w:color w:val="000000"/>
                <w:szCs w:val="21"/>
                <w:lang w:val="en-US" w:eastAsia="zh-CN"/>
              </w:rPr>
              <w:t>教导处；</w:t>
            </w:r>
          </w:p>
        </w:tc>
      </w:tr>
      <w:tr w14:paraId="310286C5">
        <w:tblPrEx>
          <w:tblCellMar>
            <w:top w:w="0" w:type="dxa"/>
            <w:left w:w="108" w:type="dxa"/>
            <w:bottom w:w="0" w:type="dxa"/>
            <w:right w:w="108" w:type="dxa"/>
          </w:tblCellMar>
        </w:tblPrEx>
        <w:trPr>
          <w:trHeight w:val="945" w:hRule="atLeast"/>
          <w:jc w:val="center"/>
        </w:trPr>
        <w:tc>
          <w:tcPr>
            <w:tcW w:w="1284" w:type="dxa"/>
            <w:tcBorders>
              <w:top w:val="nil"/>
              <w:left w:val="single" w:color="auto" w:sz="4" w:space="0"/>
              <w:bottom w:val="single" w:color="auto" w:sz="4" w:space="0"/>
              <w:right w:val="single" w:color="auto" w:sz="4" w:space="0"/>
            </w:tcBorders>
            <w:noWrap/>
            <w:vAlign w:val="center"/>
          </w:tcPr>
          <w:p w14:paraId="03ECCD71">
            <w:pPr>
              <w:spacing w:line="400" w:lineRule="exact"/>
              <w:jc w:val="center"/>
              <w:rPr>
                <w:rFonts w:ascii="宋体" w:hAnsi="宋体" w:cs="宋体"/>
                <w:color w:val="000000"/>
                <w:szCs w:val="21"/>
              </w:rPr>
            </w:pPr>
            <w:r>
              <w:rPr>
                <w:rFonts w:hint="eastAsia" w:ascii="宋体" w:hAnsi="宋体"/>
                <w:color w:val="000000"/>
                <w:szCs w:val="21"/>
              </w:rPr>
              <w:t>第2周</w:t>
            </w:r>
          </w:p>
        </w:tc>
        <w:tc>
          <w:tcPr>
            <w:tcW w:w="4857" w:type="dxa"/>
            <w:tcBorders>
              <w:top w:val="nil"/>
              <w:left w:val="nil"/>
              <w:bottom w:val="single" w:color="auto" w:sz="4" w:space="0"/>
              <w:right w:val="single" w:color="auto" w:sz="4" w:space="0"/>
            </w:tcBorders>
            <w:vAlign w:val="center"/>
          </w:tcPr>
          <w:p w14:paraId="0B10201C">
            <w:pPr>
              <w:spacing w:line="400" w:lineRule="exact"/>
              <w:rPr>
                <w:rFonts w:hint="eastAsia" w:ascii="宋体" w:hAnsi="宋体" w:cs="宋体" w:eastAsiaTheme="minorEastAsia"/>
                <w:color w:val="000000"/>
                <w:szCs w:val="21"/>
                <w:lang w:eastAsia="zh-CN"/>
              </w:rPr>
            </w:pPr>
            <w:r>
              <w:rPr>
                <w:rFonts w:hint="eastAsia" w:ascii="宋体" w:hAnsi="宋体" w:cs="宋体"/>
                <w:color w:val="000000"/>
                <w:szCs w:val="21"/>
                <w:lang w:eastAsia="zh-CN"/>
              </w:rPr>
              <w:t>教研组长、备课组长会议；</w:t>
            </w:r>
          </w:p>
          <w:p w14:paraId="54455FDB">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rPr>
              <w:t>教学计划</w:t>
            </w:r>
            <w:r>
              <w:rPr>
                <w:rFonts w:hint="eastAsia" w:ascii="宋体" w:hAnsi="宋体" w:cs="宋体"/>
                <w:color w:val="000000"/>
                <w:szCs w:val="21"/>
                <w:lang w:eastAsia="zh-CN"/>
              </w:rPr>
              <w:t>制定</w:t>
            </w:r>
            <w:r>
              <w:rPr>
                <w:rFonts w:hint="eastAsia" w:ascii="宋体" w:hAnsi="宋体" w:cs="宋体"/>
                <w:color w:val="000000"/>
                <w:szCs w:val="21"/>
              </w:rPr>
              <w:t>；</w:t>
            </w:r>
            <w:r>
              <w:rPr>
                <w:rFonts w:hint="eastAsia" w:ascii="宋体" w:hAnsi="宋体" w:cs="宋体"/>
                <w:color w:val="000000"/>
                <w:szCs w:val="21"/>
                <w:lang w:eastAsia="zh-CN"/>
              </w:rPr>
              <w:t>（</w:t>
            </w:r>
            <w:r>
              <w:rPr>
                <w:rFonts w:hint="eastAsia" w:ascii="宋体" w:hAnsi="宋体" w:cs="宋体"/>
                <w:color w:val="000000"/>
                <w:szCs w:val="21"/>
              </w:rPr>
              <w:t>包括备课组活动计划</w:t>
            </w:r>
            <w:r>
              <w:rPr>
                <w:rFonts w:hint="eastAsia" w:ascii="宋体" w:hAnsi="宋体" w:cs="宋体"/>
                <w:color w:val="000000"/>
                <w:szCs w:val="21"/>
                <w:lang w:eastAsia="zh-CN"/>
              </w:rPr>
              <w:t>）</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noWrap/>
          </w:tcPr>
          <w:p w14:paraId="319D5F36">
            <w:pPr>
              <w:spacing w:line="400" w:lineRule="exact"/>
              <w:rPr>
                <w:rFonts w:ascii="宋体" w:hAnsi="宋体" w:cs="宋体"/>
                <w:color w:val="000000"/>
                <w:szCs w:val="21"/>
              </w:rPr>
            </w:pPr>
            <w:r>
              <w:rPr>
                <w:rFonts w:hint="eastAsia" w:ascii="宋体" w:hAnsi="宋体" w:cs="宋体"/>
                <w:color w:val="000000"/>
                <w:szCs w:val="21"/>
              </w:rPr>
              <w:t>教研组、备课组；</w:t>
            </w:r>
          </w:p>
          <w:p w14:paraId="47E49934">
            <w:pPr>
              <w:spacing w:line="400" w:lineRule="exact"/>
              <w:rPr>
                <w:rFonts w:ascii="宋体" w:hAnsi="宋体" w:cs="宋体"/>
                <w:color w:val="000000"/>
                <w:szCs w:val="21"/>
              </w:rPr>
            </w:pPr>
            <w:r>
              <w:rPr>
                <w:rFonts w:hint="eastAsia" w:ascii="宋体" w:hAnsi="宋体" w:cs="宋体"/>
                <w:color w:val="000000"/>
                <w:szCs w:val="21"/>
              </w:rPr>
              <w:t>教导处</w:t>
            </w:r>
            <w:r>
              <w:rPr>
                <w:rFonts w:ascii="宋体" w:hAnsi="宋体" w:cs="宋体"/>
                <w:color w:val="000000"/>
                <w:szCs w:val="21"/>
              </w:rPr>
              <w:t>；</w:t>
            </w:r>
          </w:p>
        </w:tc>
      </w:tr>
      <w:tr w14:paraId="7E1B5D0C">
        <w:tblPrEx>
          <w:tblCellMar>
            <w:top w:w="0" w:type="dxa"/>
            <w:left w:w="108" w:type="dxa"/>
            <w:bottom w:w="0" w:type="dxa"/>
            <w:right w:w="108" w:type="dxa"/>
          </w:tblCellMar>
        </w:tblPrEx>
        <w:trPr>
          <w:trHeight w:val="589" w:hRule="atLeast"/>
          <w:jc w:val="center"/>
        </w:trPr>
        <w:tc>
          <w:tcPr>
            <w:tcW w:w="1284" w:type="dxa"/>
            <w:tcBorders>
              <w:top w:val="nil"/>
              <w:left w:val="single" w:color="auto" w:sz="4" w:space="0"/>
              <w:bottom w:val="single" w:color="auto" w:sz="4" w:space="0"/>
              <w:right w:val="single" w:color="auto" w:sz="4" w:space="0"/>
            </w:tcBorders>
            <w:noWrap/>
            <w:vAlign w:val="center"/>
          </w:tcPr>
          <w:p w14:paraId="10133161">
            <w:pPr>
              <w:spacing w:line="400" w:lineRule="exact"/>
              <w:jc w:val="center"/>
              <w:rPr>
                <w:rFonts w:ascii="宋体" w:hAnsi="宋体" w:cs="宋体"/>
                <w:color w:val="000000"/>
                <w:szCs w:val="21"/>
              </w:rPr>
            </w:pPr>
            <w:r>
              <w:rPr>
                <w:rFonts w:hint="eastAsia" w:ascii="宋体" w:hAnsi="宋体"/>
                <w:color w:val="000000"/>
                <w:szCs w:val="21"/>
              </w:rPr>
              <w:t>第3周</w:t>
            </w:r>
          </w:p>
        </w:tc>
        <w:tc>
          <w:tcPr>
            <w:tcW w:w="4857" w:type="dxa"/>
            <w:tcBorders>
              <w:top w:val="nil"/>
              <w:left w:val="nil"/>
              <w:bottom w:val="single" w:color="auto" w:sz="4" w:space="0"/>
              <w:right w:val="single" w:color="auto" w:sz="4" w:space="0"/>
            </w:tcBorders>
            <w:vAlign w:val="center"/>
          </w:tcPr>
          <w:p w14:paraId="103BC75F">
            <w:pPr>
              <w:spacing w:line="400" w:lineRule="exact"/>
              <w:rPr>
                <w:rFonts w:hint="eastAsia" w:ascii="宋体" w:hAnsi="宋体" w:cs="宋体"/>
                <w:color w:val="000000"/>
                <w:szCs w:val="21"/>
              </w:rPr>
            </w:pPr>
            <w:r>
              <w:rPr>
                <w:rFonts w:hint="eastAsia" w:ascii="宋体" w:hAnsi="宋体" w:cs="宋体"/>
                <w:color w:val="000000"/>
                <w:szCs w:val="21"/>
              </w:rPr>
              <w:t>教研组活动</w:t>
            </w:r>
            <w:r>
              <w:rPr>
                <w:rFonts w:hint="eastAsia" w:ascii="宋体" w:hAnsi="宋体" w:cs="宋体"/>
                <w:color w:val="000000"/>
                <w:szCs w:val="21"/>
                <w:lang w:eastAsia="zh-CN"/>
              </w:rPr>
              <w:t>；</w:t>
            </w:r>
            <w:r>
              <w:rPr>
                <w:rFonts w:ascii="宋体" w:hAnsi="宋体" w:cs="宋体"/>
                <w:color w:val="000000"/>
                <w:szCs w:val="21"/>
              </w:rPr>
              <w:t>备课组活动</w:t>
            </w:r>
            <w:r>
              <w:rPr>
                <w:rFonts w:hint="eastAsia" w:ascii="宋体" w:hAnsi="宋体" w:cs="宋体"/>
                <w:color w:val="000000"/>
                <w:szCs w:val="21"/>
              </w:rPr>
              <w:t>；</w:t>
            </w:r>
          </w:p>
          <w:p w14:paraId="6182CE88">
            <w:pPr>
              <w:spacing w:line="400" w:lineRule="exact"/>
              <w:rPr>
                <w:rFonts w:hint="default" w:ascii="宋体" w:hAnsi="宋体" w:cs="宋体"/>
                <w:color w:val="000000"/>
                <w:szCs w:val="21"/>
                <w:lang w:val="en-US" w:eastAsia="zh-CN"/>
              </w:rPr>
            </w:pPr>
            <w:r>
              <w:rPr>
                <w:rFonts w:hint="eastAsia" w:ascii="宋体" w:hAnsi="宋体" w:cs="宋体"/>
                <w:color w:val="000000"/>
                <w:szCs w:val="21"/>
                <w:lang w:eastAsia="zh-CN"/>
              </w:rPr>
              <w:t>教学计划检查；</w:t>
            </w:r>
          </w:p>
        </w:tc>
        <w:tc>
          <w:tcPr>
            <w:tcW w:w="2006" w:type="dxa"/>
            <w:tcBorders>
              <w:top w:val="nil"/>
              <w:left w:val="nil"/>
              <w:bottom w:val="single" w:color="auto" w:sz="4" w:space="0"/>
              <w:right w:val="single" w:color="auto" w:sz="4" w:space="0"/>
            </w:tcBorders>
          </w:tcPr>
          <w:p w14:paraId="2862534E">
            <w:pPr>
              <w:spacing w:line="400" w:lineRule="exact"/>
              <w:rPr>
                <w:rFonts w:ascii="宋体" w:hAnsi="宋体" w:cs="宋体"/>
                <w:color w:val="000000"/>
                <w:szCs w:val="21"/>
              </w:rPr>
            </w:pPr>
            <w:r>
              <w:rPr>
                <w:rFonts w:hint="eastAsia" w:ascii="宋体" w:hAnsi="宋体" w:cs="宋体"/>
                <w:color w:val="000000"/>
                <w:szCs w:val="21"/>
              </w:rPr>
              <w:t>教研组；</w:t>
            </w:r>
          </w:p>
          <w:p w14:paraId="3DD6E345">
            <w:pPr>
              <w:spacing w:line="400" w:lineRule="exact"/>
              <w:rPr>
                <w:rFonts w:ascii="宋体" w:hAnsi="宋体" w:cs="宋体"/>
                <w:color w:val="000000"/>
                <w:szCs w:val="21"/>
              </w:rPr>
            </w:pPr>
            <w:r>
              <w:rPr>
                <w:rFonts w:hint="eastAsia" w:ascii="宋体" w:hAnsi="宋体" w:cs="宋体"/>
                <w:color w:val="000000"/>
                <w:szCs w:val="21"/>
              </w:rPr>
              <w:t>教研组、备课组；</w:t>
            </w:r>
          </w:p>
        </w:tc>
      </w:tr>
      <w:tr w14:paraId="50D68BE3">
        <w:tblPrEx>
          <w:tblCellMar>
            <w:top w:w="0" w:type="dxa"/>
            <w:left w:w="108" w:type="dxa"/>
            <w:bottom w:w="0" w:type="dxa"/>
            <w:right w:w="108" w:type="dxa"/>
          </w:tblCellMar>
        </w:tblPrEx>
        <w:trPr>
          <w:trHeight w:val="278" w:hRule="atLeast"/>
          <w:jc w:val="center"/>
        </w:trPr>
        <w:tc>
          <w:tcPr>
            <w:tcW w:w="1284" w:type="dxa"/>
            <w:tcBorders>
              <w:top w:val="nil"/>
              <w:left w:val="single" w:color="auto" w:sz="4" w:space="0"/>
              <w:bottom w:val="single" w:color="auto" w:sz="4" w:space="0"/>
              <w:right w:val="single" w:color="auto" w:sz="4" w:space="0"/>
            </w:tcBorders>
            <w:noWrap/>
            <w:vAlign w:val="center"/>
          </w:tcPr>
          <w:p w14:paraId="58FFB6FB">
            <w:pPr>
              <w:spacing w:line="400" w:lineRule="exact"/>
              <w:jc w:val="center"/>
              <w:rPr>
                <w:rFonts w:ascii="宋体" w:hAnsi="宋体" w:cs="宋体"/>
                <w:color w:val="000000"/>
                <w:szCs w:val="21"/>
              </w:rPr>
            </w:pPr>
            <w:r>
              <w:rPr>
                <w:rFonts w:hint="eastAsia" w:ascii="宋体" w:hAnsi="宋体"/>
                <w:color w:val="000000"/>
                <w:szCs w:val="21"/>
              </w:rPr>
              <w:t>第4周</w:t>
            </w:r>
          </w:p>
        </w:tc>
        <w:tc>
          <w:tcPr>
            <w:tcW w:w="4857" w:type="dxa"/>
            <w:tcBorders>
              <w:top w:val="nil"/>
              <w:left w:val="nil"/>
              <w:bottom w:val="single" w:color="auto" w:sz="4" w:space="0"/>
              <w:right w:val="single" w:color="auto" w:sz="4" w:space="0"/>
            </w:tcBorders>
            <w:vAlign w:val="center"/>
          </w:tcPr>
          <w:p w14:paraId="2F4976B2">
            <w:pPr>
              <w:spacing w:line="400" w:lineRule="exact"/>
              <w:rPr>
                <w:rFonts w:ascii="宋体" w:hAnsi="宋体" w:cs="宋体"/>
                <w:color w:val="000000"/>
                <w:szCs w:val="21"/>
              </w:rPr>
            </w:pPr>
            <w:r>
              <w:rPr>
                <w:rFonts w:hint="eastAsia" w:ascii="宋体" w:hAnsi="宋体" w:cs="宋体"/>
                <w:color w:val="000000"/>
                <w:szCs w:val="21"/>
              </w:rPr>
              <w:t>教研组长上传</w:t>
            </w:r>
            <w:r>
              <w:rPr>
                <w:rFonts w:ascii="宋体" w:hAnsi="宋体" w:cs="宋体"/>
                <w:color w:val="000000"/>
                <w:szCs w:val="21"/>
              </w:rPr>
              <w:t>组内互观课安排表；</w:t>
            </w:r>
          </w:p>
          <w:p w14:paraId="627ABBEC">
            <w:pPr>
              <w:spacing w:line="400" w:lineRule="exact"/>
              <w:rPr>
                <w:rFonts w:ascii="宋体" w:hAnsi="宋体" w:cs="宋体"/>
                <w:color w:val="000000"/>
                <w:szCs w:val="21"/>
              </w:rPr>
            </w:pPr>
            <w:r>
              <w:rPr>
                <w:rFonts w:hint="eastAsia" w:ascii="宋体" w:hAnsi="宋体" w:cs="宋体"/>
                <w:color w:val="000000"/>
                <w:szCs w:val="21"/>
              </w:rPr>
              <w:t>课堂</w:t>
            </w:r>
            <w:r>
              <w:rPr>
                <w:rFonts w:ascii="宋体" w:hAnsi="宋体" w:cs="宋体"/>
                <w:color w:val="000000"/>
                <w:szCs w:val="21"/>
              </w:rPr>
              <w:t>教学模式推进实践课（</w:t>
            </w:r>
            <w:r>
              <w:rPr>
                <w:rFonts w:hint="eastAsia" w:ascii="宋体" w:hAnsi="宋体" w:cs="宋体"/>
                <w:color w:val="000000"/>
                <w:szCs w:val="21"/>
              </w:rPr>
              <w:t>随堂</w:t>
            </w:r>
            <w:r>
              <w:rPr>
                <w:rFonts w:ascii="宋体" w:hAnsi="宋体" w:cs="宋体"/>
                <w:color w:val="000000"/>
                <w:szCs w:val="21"/>
              </w:rPr>
              <w:t>听课）</w:t>
            </w:r>
            <w:r>
              <w:rPr>
                <w:rFonts w:hint="eastAsia" w:ascii="宋体" w:hAnsi="宋体" w:cs="宋体"/>
                <w:color w:val="000000"/>
                <w:szCs w:val="21"/>
              </w:rPr>
              <w:t>开始；</w:t>
            </w:r>
          </w:p>
        </w:tc>
        <w:tc>
          <w:tcPr>
            <w:tcW w:w="2006" w:type="dxa"/>
            <w:tcBorders>
              <w:top w:val="nil"/>
              <w:left w:val="nil"/>
              <w:bottom w:val="single" w:color="auto" w:sz="4" w:space="0"/>
              <w:right w:val="single" w:color="auto" w:sz="4" w:space="0"/>
            </w:tcBorders>
          </w:tcPr>
          <w:p w14:paraId="6AF9BB79">
            <w:pPr>
              <w:spacing w:line="400" w:lineRule="exact"/>
              <w:rPr>
                <w:rFonts w:ascii="宋体" w:hAnsi="宋体" w:cs="宋体"/>
                <w:color w:val="000000"/>
                <w:szCs w:val="21"/>
              </w:rPr>
            </w:pPr>
            <w:r>
              <w:rPr>
                <w:rFonts w:hint="eastAsia" w:ascii="宋体" w:hAnsi="宋体" w:cs="宋体"/>
                <w:color w:val="000000"/>
                <w:szCs w:val="21"/>
              </w:rPr>
              <w:t>备课组；</w:t>
            </w:r>
          </w:p>
          <w:p w14:paraId="4DA574D8">
            <w:pPr>
              <w:rPr>
                <w:rFonts w:ascii="宋体" w:hAnsi="宋体" w:cs="宋体"/>
                <w:szCs w:val="21"/>
              </w:rPr>
            </w:pPr>
            <w:r>
              <w:rPr>
                <w:rFonts w:hint="eastAsia" w:ascii="宋体" w:hAnsi="宋体" w:cs="宋体"/>
                <w:szCs w:val="21"/>
              </w:rPr>
              <w:t>教研组</w:t>
            </w:r>
            <w:r>
              <w:rPr>
                <w:rFonts w:ascii="宋体" w:hAnsi="宋体" w:cs="宋体"/>
                <w:szCs w:val="21"/>
              </w:rPr>
              <w:t>；</w:t>
            </w:r>
          </w:p>
        </w:tc>
      </w:tr>
      <w:tr w14:paraId="1DA3B108">
        <w:tblPrEx>
          <w:tblCellMar>
            <w:top w:w="0" w:type="dxa"/>
            <w:left w:w="108" w:type="dxa"/>
            <w:bottom w:w="0" w:type="dxa"/>
            <w:right w:w="108" w:type="dxa"/>
          </w:tblCellMar>
        </w:tblPrEx>
        <w:trPr>
          <w:trHeight w:val="485" w:hRule="atLeast"/>
          <w:jc w:val="center"/>
        </w:trPr>
        <w:tc>
          <w:tcPr>
            <w:tcW w:w="1284" w:type="dxa"/>
            <w:tcBorders>
              <w:top w:val="nil"/>
              <w:left w:val="single" w:color="auto" w:sz="4" w:space="0"/>
              <w:bottom w:val="single" w:color="auto" w:sz="4" w:space="0"/>
              <w:right w:val="single" w:color="auto" w:sz="4" w:space="0"/>
            </w:tcBorders>
            <w:noWrap/>
            <w:vAlign w:val="center"/>
          </w:tcPr>
          <w:p w14:paraId="59D5EB05">
            <w:pPr>
              <w:spacing w:line="400" w:lineRule="exact"/>
              <w:jc w:val="center"/>
              <w:rPr>
                <w:rFonts w:ascii="宋体" w:hAnsi="宋体"/>
                <w:color w:val="000000"/>
                <w:szCs w:val="21"/>
              </w:rPr>
            </w:pPr>
            <w:r>
              <w:rPr>
                <w:rFonts w:hint="eastAsia" w:ascii="宋体" w:hAnsi="宋体"/>
                <w:color w:val="000000"/>
                <w:szCs w:val="21"/>
              </w:rPr>
              <w:t>第5周</w:t>
            </w:r>
          </w:p>
        </w:tc>
        <w:tc>
          <w:tcPr>
            <w:tcW w:w="4857" w:type="dxa"/>
            <w:tcBorders>
              <w:top w:val="nil"/>
              <w:left w:val="nil"/>
              <w:bottom w:val="single" w:color="auto" w:sz="4" w:space="0"/>
              <w:right w:val="single" w:color="auto" w:sz="4" w:space="0"/>
            </w:tcBorders>
            <w:vAlign w:val="center"/>
          </w:tcPr>
          <w:p w14:paraId="7E51009B">
            <w:pPr>
              <w:spacing w:line="400" w:lineRule="exact"/>
              <w:rPr>
                <w:rFonts w:hint="eastAsia" w:ascii="宋体" w:hAnsi="宋体" w:cs="宋体"/>
                <w:color w:val="000000"/>
                <w:szCs w:val="21"/>
                <w:lang w:eastAsia="zh-CN"/>
              </w:rPr>
            </w:pPr>
            <w:r>
              <w:rPr>
                <w:rFonts w:hint="eastAsia" w:ascii="宋体" w:hAnsi="宋体" w:cs="宋体"/>
                <w:color w:val="000000"/>
                <w:szCs w:val="21"/>
                <w:lang w:eastAsia="zh-CN"/>
              </w:rPr>
              <w:t>第一次备课检查；</w:t>
            </w:r>
          </w:p>
          <w:p w14:paraId="5972E7A6">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素养导向</w:t>
            </w:r>
            <w:r>
              <w:rPr>
                <w:rFonts w:hint="eastAsia" w:ascii="宋体" w:hAnsi="宋体" w:cs="宋体"/>
                <w:color w:val="000000"/>
                <w:szCs w:val="21"/>
                <w:lang w:eastAsia="zh-CN"/>
              </w:rPr>
              <w:t>的课型研究</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0522C9B3">
            <w:pPr>
              <w:spacing w:line="400" w:lineRule="exact"/>
              <w:rPr>
                <w:rFonts w:hint="eastAsia" w:ascii="宋体" w:hAnsi="宋体" w:cs="宋体"/>
                <w:color w:val="000000"/>
                <w:szCs w:val="21"/>
                <w:lang w:val="en-US" w:eastAsia="zh-CN"/>
              </w:rPr>
            </w:pPr>
            <w:r>
              <w:rPr>
                <w:rFonts w:hint="eastAsia" w:ascii="宋体" w:hAnsi="宋体" w:cs="宋体"/>
                <w:color w:val="000000"/>
                <w:szCs w:val="21"/>
                <w:lang w:val="en-US" w:eastAsia="zh-CN"/>
              </w:rPr>
              <w:t>备课组；</w:t>
            </w:r>
          </w:p>
          <w:p w14:paraId="6838F9D1">
            <w:pPr>
              <w:spacing w:line="400" w:lineRule="exact"/>
              <w:rPr>
                <w:rFonts w:hint="default" w:ascii="宋体" w:hAnsi="宋体" w:cs="宋体"/>
                <w:color w:val="000000"/>
                <w:szCs w:val="21"/>
                <w:lang w:val="en-US" w:eastAsia="zh-CN"/>
              </w:rPr>
            </w:pPr>
            <w:r>
              <w:rPr>
                <w:rFonts w:hint="eastAsia" w:ascii="宋体" w:hAnsi="宋体" w:cs="宋体"/>
                <w:color w:val="000000"/>
                <w:szCs w:val="21"/>
                <w:lang w:val="en-US" w:eastAsia="zh-CN"/>
              </w:rPr>
              <w:t>教研组；</w:t>
            </w:r>
          </w:p>
        </w:tc>
      </w:tr>
      <w:tr w14:paraId="37F636AE">
        <w:tblPrEx>
          <w:tblCellMar>
            <w:top w:w="0" w:type="dxa"/>
            <w:left w:w="108" w:type="dxa"/>
            <w:bottom w:w="0" w:type="dxa"/>
            <w:right w:w="108" w:type="dxa"/>
          </w:tblCellMar>
        </w:tblPrEx>
        <w:trPr>
          <w:trHeight w:val="90" w:hRule="atLeast"/>
          <w:jc w:val="center"/>
        </w:trPr>
        <w:tc>
          <w:tcPr>
            <w:tcW w:w="1284" w:type="dxa"/>
            <w:tcBorders>
              <w:top w:val="nil"/>
              <w:left w:val="single" w:color="auto" w:sz="4" w:space="0"/>
              <w:bottom w:val="single" w:color="auto" w:sz="4" w:space="0"/>
              <w:right w:val="single" w:color="auto" w:sz="4" w:space="0"/>
            </w:tcBorders>
            <w:noWrap/>
            <w:vAlign w:val="center"/>
          </w:tcPr>
          <w:p w14:paraId="7281C4F0">
            <w:pPr>
              <w:spacing w:line="400" w:lineRule="exact"/>
              <w:jc w:val="center"/>
              <w:rPr>
                <w:rFonts w:ascii="宋体" w:hAnsi="宋体"/>
                <w:color w:val="000000"/>
                <w:szCs w:val="21"/>
              </w:rPr>
            </w:pPr>
            <w:r>
              <w:rPr>
                <w:rFonts w:hint="eastAsia" w:ascii="宋体" w:hAnsi="宋体"/>
                <w:color w:val="000000"/>
                <w:szCs w:val="21"/>
              </w:rPr>
              <w:t>第6周</w:t>
            </w:r>
          </w:p>
        </w:tc>
        <w:tc>
          <w:tcPr>
            <w:tcW w:w="4857" w:type="dxa"/>
            <w:tcBorders>
              <w:top w:val="nil"/>
              <w:left w:val="nil"/>
              <w:bottom w:val="single" w:color="auto" w:sz="4" w:space="0"/>
              <w:right w:val="single" w:color="auto" w:sz="4" w:space="0"/>
            </w:tcBorders>
            <w:vAlign w:val="center"/>
          </w:tcPr>
          <w:p w14:paraId="2292EAF6">
            <w:pPr>
              <w:spacing w:line="400" w:lineRule="exact"/>
              <w:rPr>
                <w:rFonts w:ascii="宋体" w:hAnsi="宋体" w:cs="宋体"/>
                <w:color w:val="000000"/>
                <w:szCs w:val="21"/>
              </w:rPr>
            </w:pPr>
            <w:r>
              <w:rPr>
                <w:rFonts w:hint="eastAsia" w:ascii="宋体" w:hAnsi="宋体" w:cs="宋体"/>
                <w:color w:val="000000"/>
                <w:szCs w:val="21"/>
                <w:lang w:val="en-US" w:eastAsia="zh-CN"/>
              </w:rPr>
              <w:t>区教研活动</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5572DF5E">
            <w:pPr>
              <w:spacing w:line="400" w:lineRule="exact"/>
              <w:rPr>
                <w:rFonts w:ascii="宋体" w:hAnsi="宋体" w:cs="宋体"/>
                <w:color w:val="000000"/>
                <w:szCs w:val="21"/>
              </w:rPr>
            </w:pPr>
            <w:r>
              <w:rPr>
                <w:rFonts w:hint="eastAsia" w:ascii="宋体" w:hAnsi="宋体" w:cs="宋体"/>
                <w:color w:val="000000"/>
                <w:szCs w:val="21"/>
              </w:rPr>
              <w:t>教导处；</w:t>
            </w:r>
          </w:p>
        </w:tc>
      </w:tr>
      <w:tr w14:paraId="40A6AFBC">
        <w:tblPrEx>
          <w:tblCellMar>
            <w:top w:w="0" w:type="dxa"/>
            <w:left w:w="108" w:type="dxa"/>
            <w:bottom w:w="0" w:type="dxa"/>
            <w:right w:w="108" w:type="dxa"/>
          </w:tblCellMar>
        </w:tblPrEx>
        <w:trPr>
          <w:trHeight w:val="274" w:hRule="atLeast"/>
          <w:jc w:val="center"/>
        </w:trPr>
        <w:tc>
          <w:tcPr>
            <w:tcW w:w="1284" w:type="dxa"/>
            <w:tcBorders>
              <w:top w:val="nil"/>
              <w:left w:val="single" w:color="auto" w:sz="4" w:space="0"/>
              <w:bottom w:val="single" w:color="auto" w:sz="4" w:space="0"/>
              <w:right w:val="single" w:color="auto" w:sz="4" w:space="0"/>
            </w:tcBorders>
            <w:noWrap/>
            <w:vAlign w:val="center"/>
          </w:tcPr>
          <w:p w14:paraId="5C94A612">
            <w:pPr>
              <w:spacing w:line="400" w:lineRule="exact"/>
              <w:jc w:val="center"/>
              <w:rPr>
                <w:rFonts w:ascii="宋体" w:hAnsi="宋体" w:cs="宋体"/>
                <w:color w:val="000000"/>
                <w:szCs w:val="21"/>
              </w:rPr>
            </w:pPr>
            <w:r>
              <w:rPr>
                <w:rFonts w:hint="eastAsia" w:ascii="宋体" w:hAnsi="宋体"/>
                <w:color w:val="000000"/>
                <w:szCs w:val="21"/>
              </w:rPr>
              <w:t>第7周</w:t>
            </w:r>
          </w:p>
        </w:tc>
        <w:tc>
          <w:tcPr>
            <w:tcW w:w="4857" w:type="dxa"/>
            <w:tcBorders>
              <w:top w:val="nil"/>
              <w:left w:val="nil"/>
              <w:bottom w:val="single" w:color="auto" w:sz="4" w:space="0"/>
              <w:right w:val="single" w:color="auto" w:sz="4" w:space="0"/>
            </w:tcBorders>
            <w:vAlign w:val="center"/>
          </w:tcPr>
          <w:p w14:paraId="7DF02B2D">
            <w:pPr>
              <w:spacing w:line="400" w:lineRule="exact"/>
              <w:rPr>
                <w:rFonts w:ascii="宋体" w:hAnsi="宋体" w:cs="宋体"/>
                <w:color w:val="000000"/>
                <w:szCs w:val="21"/>
              </w:rPr>
            </w:pPr>
            <w:r>
              <w:rPr>
                <w:rFonts w:hint="eastAsia" w:ascii="宋体" w:hAnsi="宋体" w:cs="宋体"/>
                <w:color w:val="000000"/>
                <w:szCs w:val="21"/>
              </w:rPr>
              <w:t>第一次学生作业检查；</w:t>
            </w:r>
          </w:p>
          <w:p w14:paraId="38FD1601">
            <w:pPr>
              <w:spacing w:line="400" w:lineRule="exact"/>
              <w:rPr>
                <w:rFonts w:hint="eastAsia" w:ascii="宋体" w:hAnsi="宋体" w:cs="宋体" w:eastAsiaTheme="minorEastAsia"/>
                <w:color w:val="000000"/>
                <w:szCs w:val="21"/>
                <w:lang w:eastAsia="zh-CN"/>
              </w:rPr>
            </w:pPr>
            <w:r>
              <w:rPr>
                <w:rFonts w:hint="eastAsia" w:ascii="宋体" w:hAnsi="宋体" w:cs="宋体"/>
                <w:color w:val="000000"/>
                <w:szCs w:val="21"/>
              </w:rPr>
              <w:t>教研组活动、</w:t>
            </w:r>
            <w:r>
              <w:rPr>
                <w:rFonts w:ascii="宋体" w:hAnsi="宋体" w:cs="宋体"/>
                <w:color w:val="000000"/>
                <w:szCs w:val="21"/>
              </w:rPr>
              <w:t>备课组活动</w:t>
            </w:r>
            <w:r>
              <w:rPr>
                <w:rFonts w:hint="eastAsia" w:ascii="宋体" w:hAnsi="宋体" w:cs="宋体"/>
                <w:color w:val="000000"/>
                <w:szCs w:val="21"/>
                <w:lang w:eastAsia="zh-CN"/>
              </w:rPr>
              <w:t>；</w:t>
            </w:r>
          </w:p>
        </w:tc>
        <w:tc>
          <w:tcPr>
            <w:tcW w:w="2006" w:type="dxa"/>
            <w:tcBorders>
              <w:top w:val="nil"/>
              <w:left w:val="nil"/>
              <w:bottom w:val="single" w:color="auto" w:sz="4" w:space="0"/>
              <w:right w:val="single" w:color="auto" w:sz="4" w:space="0"/>
            </w:tcBorders>
          </w:tcPr>
          <w:p w14:paraId="143D2A77">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w:t>
            </w:r>
          </w:p>
          <w:p w14:paraId="4BC265A0">
            <w:pPr>
              <w:spacing w:line="400" w:lineRule="exact"/>
              <w:rPr>
                <w:rFonts w:ascii="宋体" w:hAnsi="宋体" w:cs="宋体"/>
                <w:color w:val="000000"/>
                <w:szCs w:val="21"/>
              </w:rPr>
            </w:pPr>
            <w:r>
              <w:rPr>
                <w:rFonts w:hint="eastAsia" w:ascii="宋体" w:hAnsi="宋体" w:cs="宋体"/>
                <w:color w:val="000000"/>
                <w:szCs w:val="21"/>
              </w:rPr>
              <w:t>备课组；</w:t>
            </w:r>
          </w:p>
        </w:tc>
      </w:tr>
      <w:tr w14:paraId="03F8E594">
        <w:tblPrEx>
          <w:tblCellMar>
            <w:top w:w="0" w:type="dxa"/>
            <w:left w:w="108" w:type="dxa"/>
            <w:bottom w:w="0" w:type="dxa"/>
            <w:right w:w="108" w:type="dxa"/>
          </w:tblCellMar>
        </w:tblPrEx>
        <w:trPr>
          <w:trHeight w:val="285" w:hRule="atLeast"/>
          <w:jc w:val="center"/>
        </w:trPr>
        <w:tc>
          <w:tcPr>
            <w:tcW w:w="1284" w:type="dxa"/>
            <w:tcBorders>
              <w:top w:val="nil"/>
              <w:left w:val="single" w:color="auto" w:sz="4" w:space="0"/>
              <w:bottom w:val="single" w:color="auto" w:sz="4" w:space="0"/>
              <w:right w:val="single" w:color="auto" w:sz="4" w:space="0"/>
            </w:tcBorders>
            <w:noWrap/>
            <w:vAlign w:val="center"/>
          </w:tcPr>
          <w:p w14:paraId="1CA7261A">
            <w:pPr>
              <w:spacing w:line="400" w:lineRule="exact"/>
              <w:jc w:val="center"/>
              <w:rPr>
                <w:rFonts w:ascii="宋体" w:hAnsi="宋体" w:cs="宋体"/>
                <w:color w:val="000000"/>
                <w:szCs w:val="21"/>
              </w:rPr>
            </w:pPr>
            <w:r>
              <w:rPr>
                <w:rFonts w:hint="eastAsia" w:ascii="宋体" w:hAnsi="宋体"/>
                <w:color w:val="000000"/>
                <w:szCs w:val="21"/>
              </w:rPr>
              <w:t>第8周</w:t>
            </w:r>
          </w:p>
        </w:tc>
        <w:tc>
          <w:tcPr>
            <w:tcW w:w="4857" w:type="dxa"/>
            <w:tcBorders>
              <w:top w:val="nil"/>
              <w:left w:val="nil"/>
              <w:bottom w:val="single" w:color="auto" w:sz="4" w:space="0"/>
              <w:right w:val="single" w:color="auto" w:sz="4" w:space="0"/>
            </w:tcBorders>
            <w:vAlign w:val="center"/>
          </w:tcPr>
          <w:p w14:paraId="3CFE312F">
            <w:pPr>
              <w:spacing w:line="400" w:lineRule="exact"/>
              <w:rPr>
                <w:rFonts w:ascii="宋体" w:hAnsi="宋体" w:cs="宋体"/>
                <w:color w:val="000000"/>
                <w:szCs w:val="21"/>
              </w:rPr>
            </w:pPr>
            <w:r>
              <w:rPr>
                <w:rFonts w:hint="eastAsia" w:ascii="宋体" w:hAnsi="宋体" w:cs="宋体"/>
                <w:color w:val="000000"/>
                <w:szCs w:val="21"/>
                <w:lang w:val="en-US" w:eastAsia="zh-CN"/>
              </w:rPr>
              <w:t>区教研活动</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vAlign w:val="center"/>
          </w:tcPr>
          <w:p w14:paraId="7D9DEA02">
            <w:pPr>
              <w:spacing w:line="400" w:lineRule="exact"/>
              <w:rPr>
                <w:rFonts w:ascii="宋体" w:hAnsi="宋体" w:cs="宋体"/>
                <w:color w:val="000000"/>
                <w:szCs w:val="21"/>
              </w:rPr>
            </w:pPr>
            <w:r>
              <w:rPr>
                <w:rFonts w:hint="eastAsia" w:ascii="宋体" w:hAnsi="宋体" w:cs="宋体"/>
                <w:color w:val="000000"/>
                <w:szCs w:val="21"/>
              </w:rPr>
              <w:t>教研组；</w:t>
            </w:r>
          </w:p>
        </w:tc>
      </w:tr>
      <w:tr w14:paraId="1659A063">
        <w:tblPrEx>
          <w:tblCellMar>
            <w:top w:w="0" w:type="dxa"/>
            <w:left w:w="108" w:type="dxa"/>
            <w:bottom w:w="0" w:type="dxa"/>
            <w:right w:w="108" w:type="dxa"/>
          </w:tblCellMar>
        </w:tblPrEx>
        <w:trPr>
          <w:trHeight w:val="299" w:hRule="atLeast"/>
          <w:jc w:val="center"/>
        </w:trPr>
        <w:tc>
          <w:tcPr>
            <w:tcW w:w="1284" w:type="dxa"/>
            <w:tcBorders>
              <w:top w:val="nil"/>
              <w:left w:val="single" w:color="auto" w:sz="4" w:space="0"/>
              <w:bottom w:val="single" w:color="auto" w:sz="4" w:space="0"/>
              <w:right w:val="single" w:color="auto" w:sz="4" w:space="0"/>
            </w:tcBorders>
            <w:noWrap/>
            <w:vAlign w:val="center"/>
          </w:tcPr>
          <w:p w14:paraId="07E1D935">
            <w:pPr>
              <w:spacing w:line="400" w:lineRule="exact"/>
              <w:jc w:val="center"/>
              <w:rPr>
                <w:rFonts w:ascii="宋体" w:hAnsi="宋体" w:cs="宋体"/>
                <w:color w:val="000000"/>
                <w:szCs w:val="21"/>
              </w:rPr>
            </w:pPr>
            <w:r>
              <w:rPr>
                <w:rFonts w:hint="eastAsia" w:ascii="宋体" w:hAnsi="宋体" w:cs="宋体"/>
                <w:color w:val="000000"/>
                <w:szCs w:val="21"/>
              </w:rPr>
              <w:t>第9周</w:t>
            </w:r>
          </w:p>
        </w:tc>
        <w:tc>
          <w:tcPr>
            <w:tcW w:w="4857" w:type="dxa"/>
            <w:tcBorders>
              <w:top w:val="nil"/>
              <w:left w:val="nil"/>
              <w:bottom w:val="single" w:color="auto" w:sz="4" w:space="0"/>
              <w:right w:val="single" w:color="auto" w:sz="4" w:space="0"/>
            </w:tcBorders>
            <w:vAlign w:val="center"/>
          </w:tcPr>
          <w:p w14:paraId="01130302">
            <w:pPr>
              <w:spacing w:line="400" w:lineRule="exact"/>
              <w:rPr>
                <w:rFonts w:hint="eastAsia" w:ascii="宋体" w:hAnsi="宋体" w:cs="宋体"/>
                <w:color w:val="000000"/>
                <w:szCs w:val="21"/>
              </w:rPr>
            </w:pPr>
            <w:r>
              <w:rPr>
                <w:rFonts w:hint="eastAsia" w:ascii="宋体" w:hAnsi="宋体" w:cs="宋体"/>
                <w:color w:val="000000"/>
                <w:szCs w:val="21"/>
              </w:rPr>
              <w:t>备课组活动；</w:t>
            </w:r>
          </w:p>
          <w:p w14:paraId="19EB08A1">
            <w:pPr>
              <w:spacing w:line="400" w:lineRule="exact"/>
              <w:rPr>
                <w:rFonts w:hint="eastAsia" w:ascii="宋体" w:hAnsi="宋体" w:cs="宋体"/>
                <w:color w:val="000000"/>
                <w:szCs w:val="21"/>
              </w:rPr>
            </w:pPr>
            <w:r>
              <w:rPr>
                <w:rFonts w:hint="eastAsia" w:ascii="宋体" w:hAnsi="宋体" w:cs="宋体"/>
                <w:color w:val="000000"/>
                <w:szCs w:val="21"/>
                <w:lang w:val="en-US" w:eastAsia="zh-CN"/>
              </w:rPr>
              <w:t>素养导向</w:t>
            </w:r>
            <w:r>
              <w:rPr>
                <w:rFonts w:hint="eastAsia" w:ascii="宋体" w:hAnsi="宋体" w:cs="宋体"/>
                <w:color w:val="000000"/>
                <w:szCs w:val="21"/>
                <w:lang w:eastAsia="zh-CN"/>
              </w:rPr>
              <w:t>的课型研究；</w:t>
            </w:r>
          </w:p>
        </w:tc>
        <w:tc>
          <w:tcPr>
            <w:tcW w:w="2006" w:type="dxa"/>
            <w:tcBorders>
              <w:top w:val="nil"/>
              <w:left w:val="nil"/>
              <w:bottom w:val="single" w:color="auto" w:sz="4" w:space="0"/>
              <w:right w:val="single" w:color="auto" w:sz="4" w:space="0"/>
            </w:tcBorders>
            <w:vAlign w:val="center"/>
          </w:tcPr>
          <w:p w14:paraId="67AA4D29">
            <w:pPr>
              <w:spacing w:line="400" w:lineRule="exact"/>
              <w:rPr>
                <w:rFonts w:ascii="宋体" w:hAnsi="宋体" w:cs="宋体"/>
                <w:color w:val="000000"/>
                <w:szCs w:val="21"/>
              </w:rPr>
            </w:pPr>
            <w:r>
              <w:rPr>
                <w:rFonts w:hint="eastAsia" w:ascii="宋体" w:hAnsi="宋体" w:cs="宋体"/>
                <w:color w:val="000000"/>
                <w:szCs w:val="21"/>
              </w:rPr>
              <w:t>备课组；</w:t>
            </w:r>
          </w:p>
        </w:tc>
      </w:tr>
      <w:tr w14:paraId="60128549">
        <w:tblPrEx>
          <w:tblCellMar>
            <w:top w:w="0" w:type="dxa"/>
            <w:left w:w="108" w:type="dxa"/>
            <w:bottom w:w="0" w:type="dxa"/>
            <w:right w:w="108" w:type="dxa"/>
          </w:tblCellMar>
        </w:tblPrEx>
        <w:trPr>
          <w:trHeight w:val="273" w:hRule="atLeast"/>
          <w:jc w:val="center"/>
        </w:trPr>
        <w:tc>
          <w:tcPr>
            <w:tcW w:w="1284" w:type="dxa"/>
            <w:tcBorders>
              <w:top w:val="nil"/>
              <w:left w:val="single" w:color="auto" w:sz="4" w:space="0"/>
              <w:bottom w:val="single" w:color="auto" w:sz="4" w:space="0"/>
              <w:right w:val="single" w:color="auto" w:sz="4" w:space="0"/>
            </w:tcBorders>
            <w:noWrap/>
            <w:vAlign w:val="center"/>
          </w:tcPr>
          <w:p w14:paraId="3421106A">
            <w:pPr>
              <w:spacing w:line="400" w:lineRule="exact"/>
              <w:jc w:val="center"/>
              <w:rPr>
                <w:rFonts w:ascii="宋体" w:hAnsi="宋体" w:cs="宋体"/>
                <w:color w:val="000000"/>
                <w:szCs w:val="21"/>
              </w:rPr>
            </w:pPr>
            <w:r>
              <w:rPr>
                <w:rFonts w:hint="eastAsia" w:ascii="宋体" w:hAnsi="宋体" w:cs="宋体"/>
                <w:color w:val="000000"/>
                <w:szCs w:val="21"/>
              </w:rPr>
              <w:t>第10周</w:t>
            </w:r>
          </w:p>
        </w:tc>
        <w:tc>
          <w:tcPr>
            <w:tcW w:w="4857" w:type="dxa"/>
            <w:tcBorders>
              <w:top w:val="nil"/>
              <w:left w:val="nil"/>
              <w:bottom w:val="single" w:color="auto" w:sz="4" w:space="0"/>
              <w:right w:val="single" w:color="auto" w:sz="4" w:space="0"/>
            </w:tcBorders>
            <w:vAlign w:val="center"/>
          </w:tcPr>
          <w:p w14:paraId="0BE0610B">
            <w:pPr>
              <w:spacing w:line="400" w:lineRule="exact"/>
              <w:rPr>
                <w:rFonts w:ascii="宋体" w:hAnsi="宋体" w:cs="宋体"/>
                <w:color w:val="000000"/>
                <w:szCs w:val="21"/>
              </w:rPr>
            </w:pPr>
            <w:r>
              <w:rPr>
                <w:rFonts w:hint="eastAsia" w:ascii="宋体" w:hAnsi="宋体" w:cs="宋体"/>
                <w:color w:val="000000"/>
                <w:szCs w:val="21"/>
                <w:lang w:val="en-US" w:eastAsia="zh-CN"/>
              </w:rPr>
              <w:t>区教研活动</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42112580">
            <w:pPr>
              <w:spacing w:line="400" w:lineRule="exact"/>
              <w:rPr>
                <w:rFonts w:ascii="宋体" w:hAnsi="宋体" w:cs="宋体"/>
                <w:color w:val="000000"/>
                <w:szCs w:val="21"/>
              </w:rPr>
            </w:pPr>
            <w:r>
              <w:rPr>
                <w:rFonts w:hint="eastAsia" w:ascii="宋体" w:hAnsi="宋体" w:cs="宋体"/>
                <w:color w:val="000000"/>
                <w:szCs w:val="21"/>
                <w:lang w:val="en-US" w:eastAsia="zh-CN"/>
              </w:rPr>
              <w:t>教研组</w:t>
            </w:r>
            <w:r>
              <w:rPr>
                <w:rFonts w:hint="eastAsia" w:ascii="宋体" w:hAnsi="宋体" w:cs="宋体"/>
                <w:color w:val="000000"/>
                <w:szCs w:val="21"/>
              </w:rPr>
              <w:t>；</w:t>
            </w:r>
          </w:p>
        </w:tc>
      </w:tr>
      <w:tr w14:paraId="6DD722FE">
        <w:tblPrEx>
          <w:tblCellMar>
            <w:top w:w="0" w:type="dxa"/>
            <w:left w:w="108" w:type="dxa"/>
            <w:bottom w:w="0" w:type="dxa"/>
            <w:right w:w="108" w:type="dxa"/>
          </w:tblCellMar>
        </w:tblPrEx>
        <w:trPr>
          <w:trHeight w:val="355" w:hRule="atLeast"/>
          <w:jc w:val="center"/>
        </w:trPr>
        <w:tc>
          <w:tcPr>
            <w:tcW w:w="1284" w:type="dxa"/>
            <w:tcBorders>
              <w:top w:val="nil"/>
              <w:left w:val="single" w:color="auto" w:sz="4" w:space="0"/>
              <w:bottom w:val="single" w:color="auto" w:sz="4" w:space="0"/>
              <w:right w:val="single" w:color="auto" w:sz="4" w:space="0"/>
            </w:tcBorders>
            <w:noWrap/>
            <w:vAlign w:val="center"/>
          </w:tcPr>
          <w:p w14:paraId="6E58B5A4">
            <w:pPr>
              <w:spacing w:line="400" w:lineRule="exact"/>
              <w:jc w:val="center"/>
              <w:rPr>
                <w:rFonts w:ascii="宋体" w:hAnsi="宋体" w:cs="宋体"/>
                <w:color w:val="000000"/>
                <w:szCs w:val="21"/>
              </w:rPr>
            </w:pPr>
            <w:r>
              <w:rPr>
                <w:rFonts w:hint="eastAsia" w:ascii="宋体" w:hAnsi="宋体"/>
                <w:color w:val="000000"/>
                <w:szCs w:val="21"/>
              </w:rPr>
              <w:t>第11周</w:t>
            </w:r>
          </w:p>
        </w:tc>
        <w:tc>
          <w:tcPr>
            <w:tcW w:w="4857" w:type="dxa"/>
            <w:tcBorders>
              <w:top w:val="nil"/>
              <w:left w:val="nil"/>
              <w:bottom w:val="single" w:color="auto" w:sz="4" w:space="0"/>
              <w:right w:val="single" w:color="auto" w:sz="4" w:space="0"/>
            </w:tcBorders>
            <w:vAlign w:val="center"/>
          </w:tcPr>
          <w:p w14:paraId="0A2469D7">
            <w:pPr>
              <w:spacing w:line="400" w:lineRule="exact"/>
              <w:rPr>
                <w:rFonts w:hint="eastAsia" w:ascii="宋体" w:hAnsi="宋体" w:cs="宋体"/>
                <w:color w:val="000000"/>
                <w:szCs w:val="21"/>
              </w:rPr>
            </w:pPr>
            <w:r>
              <w:rPr>
                <w:rFonts w:hint="eastAsia" w:ascii="宋体" w:hAnsi="宋体" w:cs="宋体"/>
                <w:color w:val="000000"/>
                <w:szCs w:val="21"/>
              </w:rPr>
              <w:t>备课组活动；</w:t>
            </w:r>
          </w:p>
          <w:p w14:paraId="3553E4CF">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体育节活动；</w:t>
            </w:r>
          </w:p>
        </w:tc>
        <w:tc>
          <w:tcPr>
            <w:tcW w:w="2006" w:type="dxa"/>
            <w:tcBorders>
              <w:top w:val="nil"/>
              <w:left w:val="nil"/>
              <w:bottom w:val="single" w:color="auto" w:sz="4" w:space="0"/>
              <w:right w:val="single" w:color="auto" w:sz="4" w:space="0"/>
            </w:tcBorders>
            <w:vAlign w:val="center"/>
          </w:tcPr>
          <w:p w14:paraId="5C60D059">
            <w:pPr>
              <w:spacing w:line="400" w:lineRule="exact"/>
              <w:rPr>
                <w:rFonts w:hint="eastAsia" w:ascii="宋体" w:hAnsi="宋体" w:cs="宋体"/>
                <w:color w:val="000000"/>
                <w:szCs w:val="21"/>
              </w:rPr>
            </w:pPr>
            <w:r>
              <w:rPr>
                <w:rFonts w:hint="eastAsia" w:ascii="宋体" w:hAnsi="宋体" w:cs="宋体"/>
                <w:color w:val="000000"/>
                <w:szCs w:val="21"/>
              </w:rPr>
              <w:t>备课组；</w:t>
            </w:r>
          </w:p>
          <w:p w14:paraId="0CC866C9">
            <w:pPr>
              <w:spacing w:line="400" w:lineRule="exact"/>
              <w:rPr>
                <w:rFonts w:hint="eastAsia" w:ascii="宋体" w:hAnsi="宋体" w:cs="宋体" w:eastAsiaTheme="minorEastAsia"/>
                <w:color w:val="000000"/>
                <w:szCs w:val="21"/>
                <w:lang w:val="en-US" w:eastAsia="zh-CN"/>
              </w:rPr>
            </w:pPr>
            <w:r>
              <w:rPr>
                <w:rFonts w:hint="eastAsia" w:ascii="宋体" w:hAnsi="宋体" w:cs="宋体"/>
                <w:color w:val="000000"/>
                <w:szCs w:val="21"/>
                <w:lang w:val="en-US" w:eastAsia="zh-CN"/>
              </w:rPr>
              <w:t>教研组；</w:t>
            </w:r>
          </w:p>
        </w:tc>
      </w:tr>
      <w:tr w14:paraId="5134F3F6">
        <w:tblPrEx>
          <w:tblCellMar>
            <w:top w:w="0" w:type="dxa"/>
            <w:left w:w="108" w:type="dxa"/>
            <w:bottom w:w="0" w:type="dxa"/>
            <w:right w:w="108" w:type="dxa"/>
          </w:tblCellMar>
        </w:tblPrEx>
        <w:trPr>
          <w:trHeight w:val="465" w:hRule="atLeast"/>
          <w:jc w:val="center"/>
        </w:trPr>
        <w:tc>
          <w:tcPr>
            <w:tcW w:w="1284" w:type="dxa"/>
            <w:tcBorders>
              <w:top w:val="nil"/>
              <w:left w:val="single" w:color="auto" w:sz="4" w:space="0"/>
              <w:bottom w:val="single" w:color="auto" w:sz="4" w:space="0"/>
              <w:right w:val="single" w:color="auto" w:sz="4" w:space="0"/>
            </w:tcBorders>
            <w:noWrap/>
            <w:vAlign w:val="center"/>
          </w:tcPr>
          <w:p w14:paraId="550318CB">
            <w:pPr>
              <w:spacing w:line="400" w:lineRule="exact"/>
              <w:jc w:val="center"/>
              <w:rPr>
                <w:rFonts w:ascii="宋体" w:hAnsi="宋体" w:cs="宋体"/>
                <w:color w:val="000000"/>
                <w:szCs w:val="21"/>
              </w:rPr>
            </w:pPr>
            <w:r>
              <w:rPr>
                <w:rFonts w:hint="eastAsia" w:ascii="宋体" w:hAnsi="宋体"/>
                <w:color w:val="000000"/>
                <w:szCs w:val="21"/>
              </w:rPr>
              <w:t>第12周</w:t>
            </w:r>
          </w:p>
        </w:tc>
        <w:tc>
          <w:tcPr>
            <w:tcW w:w="4857" w:type="dxa"/>
            <w:tcBorders>
              <w:top w:val="nil"/>
              <w:left w:val="nil"/>
              <w:bottom w:val="single" w:color="auto" w:sz="4" w:space="0"/>
              <w:right w:val="single" w:color="auto" w:sz="4" w:space="0"/>
            </w:tcBorders>
            <w:vAlign w:val="center"/>
          </w:tcPr>
          <w:p w14:paraId="491F09B1">
            <w:pPr>
              <w:spacing w:line="400" w:lineRule="exact"/>
              <w:rPr>
                <w:rFonts w:ascii="宋体" w:hAnsi="宋体"/>
                <w:color w:val="000000"/>
                <w:szCs w:val="21"/>
              </w:rPr>
            </w:pPr>
            <w:r>
              <w:rPr>
                <w:rFonts w:hint="eastAsia" w:ascii="宋体" w:hAnsi="宋体" w:cs="宋体"/>
                <w:color w:val="000000"/>
                <w:szCs w:val="21"/>
                <w:lang w:val="en-US" w:eastAsia="zh-CN"/>
              </w:rPr>
              <w:t>区教研活动</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1402FFD3">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w:t>
            </w:r>
          </w:p>
        </w:tc>
      </w:tr>
      <w:tr w14:paraId="5B4793CC">
        <w:tblPrEx>
          <w:tblCellMar>
            <w:top w:w="0" w:type="dxa"/>
            <w:left w:w="108" w:type="dxa"/>
            <w:bottom w:w="0" w:type="dxa"/>
            <w:right w:w="108" w:type="dxa"/>
          </w:tblCellMar>
        </w:tblPrEx>
        <w:trPr>
          <w:trHeight w:val="587" w:hRule="atLeast"/>
          <w:jc w:val="center"/>
        </w:trPr>
        <w:tc>
          <w:tcPr>
            <w:tcW w:w="1284" w:type="dxa"/>
            <w:tcBorders>
              <w:top w:val="nil"/>
              <w:left w:val="single" w:color="auto" w:sz="4" w:space="0"/>
              <w:bottom w:val="single" w:color="auto" w:sz="4" w:space="0"/>
              <w:right w:val="single" w:color="auto" w:sz="4" w:space="0"/>
            </w:tcBorders>
            <w:noWrap/>
            <w:vAlign w:val="center"/>
          </w:tcPr>
          <w:p w14:paraId="66CFA441">
            <w:pPr>
              <w:spacing w:line="400" w:lineRule="exact"/>
              <w:jc w:val="center"/>
              <w:rPr>
                <w:rFonts w:ascii="宋体" w:hAnsi="宋体" w:cs="宋体"/>
                <w:color w:val="000000"/>
                <w:szCs w:val="21"/>
              </w:rPr>
            </w:pPr>
            <w:r>
              <w:rPr>
                <w:rFonts w:hint="eastAsia" w:ascii="宋体" w:hAnsi="宋体"/>
                <w:color w:val="000000"/>
                <w:szCs w:val="21"/>
              </w:rPr>
              <w:t>第13周</w:t>
            </w:r>
          </w:p>
        </w:tc>
        <w:tc>
          <w:tcPr>
            <w:tcW w:w="4857" w:type="dxa"/>
            <w:tcBorders>
              <w:top w:val="nil"/>
              <w:left w:val="nil"/>
              <w:bottom w:val="single" w:color="auto" w:sz="4" w:space="0"/>
              <w:right w:val="single" w:color="auto" w:sz="4" w:space="0"/>
            </w:tcBorders>
            <w:vAlign w:val="center"/>
          </w:tcPr>
          <w:p w14:paraId="6A5F29B8">
            <w:pPr>
              <w:spacing w:line="400" w:lineRule="exact"/>
              <w:rPr>
                <w:rFonts w:ascii="宋体" w:hAnsi="宋体" w:cs="宋体"/>
                <w:color w:val="000000"/>
                <w:szCs w:val="21"/>
              </w:rPr>
            </w:pPr>
            <w:r>
              <w:rPr>
                <w:rFonts w:hint="eastAsia" w:ascii="宋体" w:hAnsi="宋体" w:cs="宋体"/>
                <w:color w:val="000000"/>
                <w:szCs w:val="21"/>
              </w:rPr>
              <w:t>第二次</w:t>
            </w:r>
            <w:r>
              <w:rPr>
                <w:rFonts w:hint="eastAsia" w:ascii="宋体" w:hAnsi="宋体" w:cs="宋体"/>
                <w:color w:val="000000"/>
                <w:szCs w:val="21"/>
                <w:lang w:eastAsia="zh-CN"/>
              </w:rPr>
              <w:t>备课</w:t>
            </w:r>
            <w:r>
              <w:rPr>
                <w:rFonts w:hint="eastAsia" w:ascii="宋体" w:hAnsi="宋体" w:cs="宋体"/>
                <w:color w:val="000000"/>
                <w:szCs w:val="21"/>
              </w:rPr>
              <w:t>检查；</w:t>
            </w:r>
          </w:p>
          <w:p w14:paraId="512A6302">
            <w:pPr>
              <w:spacing w:line="400" w:lineRule="exact"/>
              <w:rPr>
                <w:rFonts w:ascii="宋体" w:hAnsi="宋体" w:cs="宋体"/>
                <w:color w:val="000000"/>
                <w:szCs w:val="21"/>
              </w:rPr>
            </w:pPr>
            <w:r>
              <w:rPr>
                <w:rFonts w:hint="eastAsia" w:ascii="宋体" w:hAnsi="宋体" w:cs="宋体"/>
                <w:color w:val="000000"/>
                <w:szCs w:val="21"/>
              </w:rPr>
              <w:t>教研组活动</w:t>
            </w:r>
            <w:r>
              <w:rPr>
                <w:rFonts w:ascii="宋体" w:hAnsi="宋体" w:cs="宋体"/>
                <w:color w:val="000000"/>
                <w:szCs w:val="21"/>
              </w:rPr>
              <w:t>、</w:t>
            </w:r>
            <w:r>
              <w:rPr>
                <w:rFonts w:hint="eastAsia" w:ascii="宋体" w:hAnsi="宋体" w:cs="宋体"/>
                <w:color w:val="000000"/>
                <w:szCs w:val="21"/>
              </w:rPr>
              <w:t>备课组活动；</w:t>
            </w:r>
          </w:p>
        </w:tc>
        <w:tc>
          <w:tcPr>
            <w:tcW w:w="2006" w:type="dxa"/>
            <w:tcBorders>
              <w:top w:val="nil"/>
              <w:left w:val="nil"/>
              <w:bottom w:val="single" w:color="auto" w:sz="4" w:space="0"/>
              <w:right w:val="single" w:color="auto" w:sz="4" w:space="0"/>
            </w:tcBorders>
            <w:noWrap/>
            <w:vAlign w:val="center"/>
          </w:tcPr>
          <w:p w14:paraId="43190E12">
            <w:pPr>
              <w:spacing w:line="400" w:lineRule="exact"/>
              <w:rPr>
                <w:rFonts w:hint="eastAsia" w:ascii="宋体" w:hAnsi="宋体" w:cs="宋体"/>
                <w:color w:val="000000"/>
                <w:szCs w:val="21"/>
                <w:lang w:eastAsia="zh-CN"/>
              </w:rPr>
            </w:pPr>
            <w:r>
              <w:rPr>
                <w:rFonts w:hint="eastAsia" w:ascii="宋体" w:hAnsi="宋体" w:cs="宋体"/>
                <w:color w:val="000000"/>
                <w:szCs w:val="21"/>
              </w:rPr>
              <w:t>教研组</w:t>
            </w:r>
            <w:r>
              <w:rPr>
                <w:rFonts w:hint="eastAsia" w:ascii="宋体" w:hAnsi="宋体" w:cs="宋体"/>
                <w:color w:val="000000"/>
                <w:szCs w:val="21"/>
                <w:lang w:eastAsia="zh-CN"/>
              </w:rPr>
              <w:t>；</w:t>
            </w:r>
          </w:p>
          <w:p w14:paraId="1769A9DE">
            <w:pPr>
              <w:spacing w:line="400" w:lineRule="exact"/>
              <w:rPr>
                <w:rFonts w:ascii="宋体" w:hAnsi="宋体" w:cs="宋体"/>
                <w:color w:val="000000"/>
                <w:szCs w:val="21"/>
              </w:rPr>
            </w:pPr>
            <w:r>
              <w:rPr>
                <w:rFonts w:hint="eastAsia" w:ascii="宋体" w:hAnsi="宋体" w:cs="宋体"/>
                <w:color w:val="000000"/>
                <w:szCs w:val="21"/>
              </w:rPr>
              <w:t>备课组</w:t>
            </w:r>
          </w:p>
        </w:tc>
      </w:tr>
      <w:tr w14:paraId="009EB3B5">
        <w:tblPrEx>
          <w:tblCellMar>
            <w:top w:w="0" w:type="dxa"/>
            <w:left w:w="108" w:type="dxa"/>
            <w:bottom w:w="0" w:type="dxa"/>
            <w:right w:w="108" w:type="dxa"/>
          </w:tblCellMar>
        </w:tblPrEx>
        <w:trPr>
          <w:trHeight w:val="505" w:hRule="atLeast"/>
          <w:jc w:val="center"/>
        </w:trPr>
        <w:tc>
          <w:tcPr>
            <w:tcW w:w="1284" w:type="dxa"/>
            <w:tcBorders>
              <w:top w:val="nil"/>
              <w:left w:val="single" w:color="auto" w:sz="4" w:space="0"/>
              <w:bottom w:val="single" w:color="auto" w:sz="4" w:space="0"/>
              <w:right w:val="single" w:color="auto" w:sz="4" w:space="0"/>
            </w:tcBorders>
            <w:noWrap/>
            <w:vAlign w:val="center"/>
          </w:tcPr>
          <w:p w14:paraId="28B6EE04">
            <w:pPr>
              <w:spacing w:line="400" w:lineRule="exact"/>
              <w:jc w:val="center"/>
              <w:rPr>
                <w:rFonts w:ascii="宋体" w:hAnsi="宋体" w:cs="宋体"/>
                <w:color w:val="000000"/>
                <w:szCs w:val="21"/>
              </w:rPr>
            </w:pPr>
            <w:r>
              <w:rPr>
                <w:rFonts w:hint="eastAsia" w:ascii="宋体" w:hAnsi="宋体"/>
                <w:color w:val="000000"/>
                <w:szCs w:val="21"/>
              </w:rPr>
              <w:t>第14周</w:t>
            </w:r>
          </w:p>
        </w:tc>
        <w:tc>
          <w:tcPr>
            <w:tcW w:w="4857" w:type="dxa"/>
            <w:tcBorders>
              <w:top w:val="nil"/>
              <w:left w:val="nil"/>
              <w:bottom w:val="single" w:color="auto" w:sz="4" w:space="0"/>
              <w:right w:val="single" w:color="auto" w:sz="4" w:space="0"/>
            </w:tcBorders>
            <w:vAlign w:val="center"/>
          </w:tcPr>
          <w:p w14:paraId="10B4E93D">
            <w:pPr>
              <w:spacing w:line="400" w:lineRule="exact"/>
              <w:rPr>
                <w:rFonts w:ascii="宋体" w:hAnsi="宋体"/>
                <w:color w:val="000000"/>
                <w:szCs w:val="21"/>
              </w:rPr>
            </w:pPr>
            <w:r>
              <w:rPr>
                <w:rFonts w:hint="eastAsia" w:ascii="宋体" w:hAnsi="宋体" w:cs="宋体"/>
                <w:color w:val="000000"/>
                <w:szCs w:val="21"/>
                <w:lang w:val="en-US" w:eastAsia="zh-CN"/>
              </w:rPr>
              <w:t>区教研活动</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0EFDE70B">
            <w:pPr>
              <w:spacing w:line="400" w:lineRule="exact"/>
              <w:rPr>
                <w:rFonts w:ascii="宋体" w:hAnsi="宋体" w:cs="宋体"/>
                <w:color w:val="000000"/>
                <w:szCs w:val="21"/>
              </w:rPr>
            </w:pPr>
            <w:r>
              <w:rPr>
                <w:rFonts w:hint="eastAsia" w:ascii="宋体" w:hAnsi="宋体" w:cs="宋体"/>
                <w:color w:val="000000"/>
                <w:szCs w:val="21"/>
                <w:lang w:val="en-US" w:eastAsia="zh-CN"/>
              </w:rPr>
              <w:t>教研</w:t>
            </w:r>
            <w:r>
              <w:rPr>
                <w:rFonts w:hint="eastAsia" w:ascii="宋体" w:hAnsi="宋体" w:cs="宋体"/>
                <w:color w:val="000000"/>
                <w:szCs w:val="21"/>
              </w:rPr>
              <w:t>组；</w:t>
            </w:r>
          </w:p>
        </w:tc>
      </w:tr>
      <w:tr w14:paraId="0DAC84C8">
        <w:tblPrEx>
          <w:tblCellMar>
            <w:top w:w="0" w:type="dxa"/>
            <w:left w:w="108" w:type="dxa"/>
            <w:bottom w:w="0" w:type="dxa"/>
            <w:right w:w="108" w:type="dxa"/>
          </w:tblCellMar>
        </w:tblPrEx>
        <w:trPr>
          <w:trHeight w:val="557" w:hRule="atLeast"/>
          <w:jc w:val="center"/>
        </w:trPr>
        <w:tc>
          <w:tcPr>
            <w:tcW w:w="1284" w:type="dxa"/>
            <w:tcBorders>
              <w:top w:val="nil"/>
              <w:left w:val="single" w:color="auto" w:sz="4" w:space="0"/>
              <w:bottom w:val="single" w:color="auto" w:sz="4" w:space="0"/>
              <w:right w:val="single" w:color="auto" w:sz="4" w:space="0"/>
            </w:tcBorders>
            <w:noWrap/>
            <w:vAlign w:val="center"/>
          </w:tcPr>
          <w:p w14:paraId="501B2A45">
            <w:pPr>
              <w:spacing w:line="400" w:lineRule="exact"/>
              <w:jc w:val="center"/>
              <w:rPr>
                <w:rFonts w:ascii="宋体" w:hAnsi="宋体" w:cs="宋体"/>
                <w:color w:val="000000"/>
                <w:szCs w:val="21"/>
              </w:rPr>
            </w:pPr>
            <w:r>
              <w:rPr>
                <w:rFonts w:hint="eastAsia" w:ascii="宋体" w:hAnsi="宋体"/>
                <w:color w:val="000000"/>
                <w:szCs w:val="21"/>
              </w:rPr>
              <w:t>第15周</w:t>
            </w:r>
          </w:p>
        </w:tc>
        <w:tc>
          <w:tcPr>
            <w:tcW w:w="4857" w:type="dxa"/>
            <w:tcBorders>
              <w:top w:val="nil"/>
              <w:left w:val="nil"/>
              <w:bottom w:val="single" w:color="auto" w:sz="4" w:space="0"/>
              <w:right w:val="single" w:color="auto" w:sz="4" w:space="0"/>
            </w:tcBorders>
            <w:vAlign w:val="center"/>
          </w:tcPr>
          <w:p w14:paraId="34F9BBFA">
            <w:pPr>
              <w:spacing w:line="400" w:lineRule="exact"/>
              <w:rPr>
                <w:rFonts w:ascii="宋体" w:hAnsi="宋体" w:cs="宋体"/>
                <w:color w:val="000000"/>
                <w:szCs w:val="21"/>
              </w:rPr>
            </w:pPr>
            <w:r>
              <w:rPr>
                <w:rFonts w:hint="eastAsia" w:ascii="宋体" w:hAnsi="宋体" w:cs="宋体"/>
                <w:color w:val="000000"/>
                <w:szCs w:val="21"/>
              </w:rPr>
              <w:t>第二次学生作业检查；</w:t>
            </w:r>
          </w:p>
          <w:p w14:paraId="36F74D57">
            <w:pPr>
              <w:spacing w:line="400" w:lineRule="exact"/>
              <w:rPr>
                <w:rFonts w:hint="eastAsia" w:ascii="宋体" w:hAnsi="宋体" w:cs="宋体"/>
                <w:color w:val="000000"/>
                <w:szCs w:val="21"/>
              </w:rPr>
            </w:pPr>
            <w:r>
              <w:rPr>
                <w:rFonts w:ascii="宋体" w:hAnsi="宋体" w:cs="宋体"/>
                <w:color w:val="000000"/>
                <w:szCs w:val="21"/>
              </w:rPr>
              <w:t>备课组活动</w:t>
            </w:r>
            <w:r>
              <w:rPr>
                <w:rFonts w:hint="eastAsia" w:ascii="宋体" w:hAnsi="宋体" w:cs="宋体"/>
                <w:color w:val="000000"/>
                <w:szCs w:val="21"/>
              </w:rPr>
              <w:t>；</w:t>
            </w:r>
          </w:p>
          <w:p w14:paraId="5AC52D6F">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艺术节活动；</w:t>
            </w:r>
          </w:p>
        </w:tc>
        <w:tc>
          <w:tcPr>
            <w:tcW w:w="2006" w:type="dxa"/>
            <w:tcBorders>
              <w:top w:val="nil"/>
              <w:left w:val="nil"/>
              <w:bottom w:val="single" w:color="auto" w:sz="4" w:space="0"/>
              <w:right w:val="single" w:color="auto" w:sz="4" w:space="0"/>
            </w:tcBorders>
            <w:vAlign w:val="center"/>
          </w:tcPr>
          <w:p w14:paraId="4264975F">
            <w:pPr>
              <w:spacing w:line="400" w:lineRule="exact"/>
              <w:rPr>
                <w:rFonts w:hint="eastAsia" w:ascii="宋体" w:hAnsi="宋体" w:cs="宋体"/>
                <w:color w:val="000000"/>
                <w:szCs w:val="21"/>
              </w:rPr>
            </w:pPr>
            <w:r>
              <w:rPr>
                <w:rFonts w:hint="eastAsia" w:ascii="宋体" w:hAnsi="宋体" w:cs="宋体"/>
                <w:color w:val="000000"/>
                <w:szCs w:val="21"/>
              </w:rPr>
              <w:t>备课组；</w:t>
            </w:r>
          </w:p>
          <w:p w14:paraId="6965AD01">
            <w:pPr>
              <w:spacing w:line="400" w:lineRule="exact"/>
              <w:rPr>
                <w:rFonts w:hint="eastAsia" w:ascii="宋体" w:hAnsi="宋体" w:cs="宋体" w:eastAsiaTheme="minorEastAsia"/>
                <w:color w:val="000000"/>
                <w:szCs w:val="21"/>
                <w:lang w:val="en-US" w:eastAsia="zh-CN"/>
              </w:rPr>
            </w:pPr>
            <w:r>
              <w:rPr>
                <w:rFonts w:hint="eastAsia" w:ascii="宋体" w:hAnsi="宋体" w:cs="宋体"/>
                <w:color w:val="000000"/>
                <w:szCs w:val="21"/>
                <w:lang w:val="en-US" w:eastAsia="zh-CN"/>
              </w:rPr>
              <w:t>教研组；</w:t>
            </w:r>
          </w:p>
        </w:tc>
      </w:tr>
      <w:tr w14:paraId="1991AC4E">
        <w:tblPrEx>
          <w:tblCellMar>
            <w:top w:w="0" w:type="dxa"/>
            <w:left w:w="108" w:type="dxa"/>
            <w:bottom w:w="0" w:type="dxa"/>
            <w:right w:w="108" w:type="dxa"/>
          </w:tblCellMar>
        </w:tblPrEx>
        <w:trPr>
          <w:trHeight w:val="275" w:hRule="atLeast"/>
          <w:jc w:val="center"/>
        </w:trPr>
        <w:tc>
          <w:tcPr>
            <w:tcW w:w="1284" w:type="dxa"/>
            <w:tcBorders>
              <w:top w:val="nil"/>
              <w:left w:val="single" w:color="auto" w:sz="4" w:space="0"/>
              <w:bottom w:val="single" w:color="auto" w:sz="4" w:space="0"/>
              <w:right w:val="single" w:color="auto" w:sz="4" w:space="0"/>
            </w:tcBorders>
            <w:noWrap/>
            <w:vAlign w:val="center"/>
          </w:tcPr>
          <w:p w14:paraId="465FCA6A">
            <w:pPr>
              <w:spacing w:line="400" w:lineRule="exact"/>
              <w:jc w:val="center"/>
              <w:rPr>
                <w:rFonts w:ascii="宋体" w:hAnsi="宋体" w:cs="宋体"/>
                <w:color w:val="000000"/>
                <w:szCs w:val="21"/>
              </w:rPr>
            </w:pPr>
            <w:r>
              <w:rPr>
                <w:rFonts w:hint="eastAsia" w:ascii="宋体" w:hAnsi="宋体"/>
                <w:color w:val="000000"/>
                <w:szCs w:val="21"/>
              </w:rPr>
              <w:t>第16周</w:t>
            </w:r>
          </w:p>
        </w:tc>
        <w:tc>
          <w:tcPr>
            <w:tcW w:w="4857" w:type="dxa"/>
            <w:tcBorders>
              <w:top w:val="nil"/>
              <w:left w:val="nil"/>
              <w:bottom w:val="single" w:color="auto" w:sz="4" w:space="0"/>
              <w:right w:val="single" w:color="auto" w:sz="4" w:space="0"/>
            </w:tcBorders>
            <w:vAlign w:val="center"/>
          </w:tcPr>
          <w:p w14:paraId="4F8C64B9">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区教研活动；</w:t>
            </w:r>
          </w:p>
          <w:p w14:paraId="3047E25C">
            <w:pPr>
              <w:spacing w:line="400" w:lineRule="exact"/>
              <w:rPr>
                <w:rFonts w:ascii="宋体" w:hAnsi="宋体" w:cs="宋体"/>
                <w:color w:val="000000"/>
                <w:szCs w:val="21"/>
              </w:rPr>
            </w:pPr>
            <w:r>
              <w:rPr>
                <w:rFonts w:hint="eastAsia" w:ascii="宋体" w:hAnsi="宋体" w:cs="宋体"/>
                <w:color w:val="000000"/>
                <w:szCs w:val="21"/>
                <w:lang w:eastAsia="zh-CN"/>
              </w:rPr>
              <w:t>制定</w:t>
            </w:r>
            <w:r>
              <w:rPr>
                <w:rFonts w:hint="eastAsia" w:ascii="宋体" w:hAnsi="宋体" w:cs="宋体"/>
                <w:color w:val="000000"/>
                <w:szCs w:val="21"/>
              </w:rPr>
              <w:t>期末复习计划；</w:t>
            </w:r>
          </w:p>
        </w:tc>
        <w:tc>
          <w:tcPr>
            <w:tcW w:w="2006" w:type="dxa"/>
            <w:tcBorders>
              <w:top w:val="nil"/>
              <w:left w:val="nil"/>
              <w:bottom w:val="single" w:color="auto" w:sz="4" w:space="0"/>
              <w:right w:val="single" w:color="auto" w:sz="4" w:space="0"/>
            </w:tcBorders>
          </w:tcPr>
          <w:p w14:paraId="04BD1DF6">
            <w:pPr>
              <w:spacing w:line="400" w:lineRule="exact"/>
              <w:rPr>
                <w:rFonts w:ascii="宋体" w:hAnsi="宋体" w:cs="宋体"/>
                <w:color w:val="000000"/>
                <w:szCs w:val="21"/>
              </w:rPr>
            </w:pPr>
            <w:r>
              <w:rPr>
                <w:rFonts w:hint="eastAsia" w:ascii="宋体" w:hAnsi="宋体" w:cs="宋体"/>
                <w:color w:val="000000"/>
                <w:szCs w:val="21"/>
              </w:rPr>
              <w:t>备课组</w:t>
            </w:r>
          </w:p>
        </w:tc>
      </w:tr>
      <w:tr w14:paraId="33195DEC">
        <w:tblPrEx>
          <w:tblCellMar>
            <w:top w:w="0" w:type="dxa"/>
            <w:left w:w="108" w:type="dxa"/>
            <w:bottom w:w="0" w:type="dxa"/>
            <w:right w:w="108" w:type="dxa"/>
          </w:tblCellMar>
        </w:tblPrEx>
        <w:trPr>
          <w:trHeight w:val="570" w:hRule="atLeast"/>
          <w:jc w:val="center"/>
        </w:trPr>
        <w:tc>
          <w:tcPr>
            <w:tcW w:w="1284" w:type="dxa"/>
            <w:tcBorders>
              <w:top w:val="nil"/>
              <w:left w:val="single" w:color="auto" w:sz="4" w:space="0"/>
              <w:bottom w:val="single" w:color="auto" w:sz="4" w:space="0"/>
              <w:right w:val="single" w:color="auto" w:sz="4" w:space="0"/>
            </w:tcBorders>
            <w:noWrap/>
            <w:vAlign w:val="center"/>
          </w:tcPr>
          <w:p w14:paraId="3DD7525D">
            <w:pPr>
              <w:spacing w:line="400" w:lineRule="exact"/>
              <w:jc w:val="center"/>
              <w:rPr>
                <w:rFonts w:ascii="宋体" w:hAnsi="宋体"/>
                <w:color w:val="000000"/>
                <w:szCs w:val="21"/>
              </w:rPr>
            </w:pPr>
            <w:r>
              <w:rPr>
                <w:rFonts w:hint="eastAsia" w:ascii="宋体" w:hAnsi="宋体"/>
                <w:color w:val="000000"/>
                <w:szCs w:val="21"/>
              </w:rPr>
              <w:t>第17周</w:t>
            </w:r>
          </w:p>
        </w:tc>
        <w:tc>
          <w:tcPr>
            <w:tcW w:w="4857" w:type="dxa"/>
            <w:tcBorders>
              <w:top w:val="nil"/>
              <w:left w:val="nil"/>
              <w:bottom w:val="single" w:color="auto" w:sz="4" w:space="0"/>
              <w:right w:val="single" w:color="auto" w:sz="4" w:space="0"/>
            </w:tcBorders>
            <w:vAlign w:val="center"/>
          </w:tcPr>
          <w:p w14:paraId="11914303">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活动、</w:t>
            </w:r>
            <w:r>
              <w:rPr>
                <w:rFonts w:hint="eastAsia" w:ascii="宋体" w:hAnsi="宋体" w:cs="宋体"/>
                <w:color w:val="000000"/>
                <w:szCs w:val="21"/>
              </w:rPr>
              <w:t>备课组活动；</w:t>
            </w:r>
          </w:p>
          <w:p w14:paraId="66705D1C">
            <w:pPr>
              <w:spacing w:line="400" w:lineRule="exact"/>
              <w:rPr>
                <w:rFonts w:ascii="宋体" w:hAnsi="宋体" w:cs="宋体"/>
                <w:color w:val="000000"/>
                <w:szCs w:val="21"/>
              </w:rPr>
            </w:pPr>
            <w:r>
              <w:rPr>
                <w:rFonts w:hint="eastAsia" w:ascii="宋体" w:hAnsi="宋体" w:cs="宋体"/>
                <w:color w:val="000000"/>
                <w:szCs w:val="21"/>
                <w:lang w:val="en-US" w:eastAsia="zh-CN"/>
              </w:rPr>
              <w:t>数学周</w:t>
            </w:r>
            <w:r>
              <w:rPr>
                <w:rFonts w:ascii="宋体" w:hAnsi="宋体" w:cs="宋体"/>
                <w:color w:val="000000"/>
                <w:szCs w:val="21"/>
              </w:rPr>
              <w:t>活动；</w:t>
            </w:r>
          </w:p>
        </w:tc>
        <w:tc>
          <w:tcPr>
            <w:tcW w:w="2006" w:type="dxa"/>
            <w:tcBorders>
              <w:top w:val="nil"/>
              <w:left w:val="nil"/>
              <w:bottom w:val="single" w:color="auto" w:sz="4" w:space="0"/>
              <w:right w:val="single" w:color="auto" w:sz="4" w:space="0"/>
            </w:tcBorders>
          </w:tcPr>
          <w:p w14:paraId="24410871">
            <w:pPr>
              <w:spacing w:line="400" w:lineRule="exact"/>
              <w:rPr>
                <w:rFonts w:ascii="宋体" w:hAnsi="宋体" w:cs="宋体"/>
                <w:color w:val="000000"/>
                <w:szCs w:val="21"/>
              </w:rPr>
            </w:pPr>
            <w:r>
              <w:rPr>
                <w:rFonts w:hint="eastAsia" w:ascii="宋体" w:hAnsi="宋体" w:cs="宋体"/>
                <w:color w:val="000000"/>
                <w:szCs w:val="21"/>
              </w:rPr>
              <w:t>备课组；</w:t>
            </w:r>
          </w:p>
          <w:p w14:paraId="33AB47B3">
            <w:pPr>
              <w:spacing w:line="400" w:lineRule="exact"/>
              <w:rPr>
                <w:rFonts w:ascii="宋体" w:hAnsi="宋体" w:cs="宋体"/>
                <w:szCs w:val="21"/>
              </w:rPr>
            </w:pPr>
            <w:r>
              <w:rPr>
                <w:rFonts w:hint="eastAsia" w:ascii="宋体" w:hAnsi="宋体" w:cs="宋体"/>
                <w:color w:val="000000"/>
                <w:szCs w:val="21"/>
              </w:rPr>
              <w:t>教研组</w:t>
            </w:r>
            <w:r>
              <w:rPr>
                <w:rFonts w:ascii="宋体" w:hAnsi="宋体" w:cs="宋体"/>
                <w:color w:val="000000"/>
                <w:szCs w:val="21"/>
              </w:rPr>
              <w:t>、</w:t>
            </w:r>
            <w:r>
              <w:rPr>
                <w:rFonts w:hint="eastAsia" w:ascii="宋体" w:hAnsi="宋体" w:cs="宋体"/>
                <w:color w:val="000000"/>
                <w:szCs w:val="21"/>
              </w:rPr>
              <w:t>备课组；</w:t>
            </w:r>
          </w:p>
        </w:tc>
      </w:tr>
      <w:tr w14:paraId="4EEFAF3F">
        <w:tblPrEx>
          <w:tblCellMar>
            <w:top w:w="0" w:type="dxa"/>
            <w:left w:w="108" w:type="dxa"/>
            <w:bottom w:w="0" w:type="dxa"/>
            <w:right w:w="108" w:type="dxa"/>
          </w:tblCellMar>
        </w:tblPrEx>
        <w:trPr>
          <w:trHeight w:val="416" w:hRule="atLeast"/>
          <w:jc w:val="center"/>
        </w:trPr>
        <w:tc>
          <w:tcPr>
            <w:tcW w:w="1284" w:type="dxa"/>
            <w:tcBorders>
              <w:top w:val="nil"/>
              <w:left w:val="single" w:color="auto" w:sz="4" w:space="0"/>
              <w:right w:val="single" w:color="auto" w:sz="4" w:space="0"/>
            </w:tcBorders>
            <w:noWrap/>
            <w:vAlign w:val="center"/>
          </w:tcPr>
          <w:p w14:paraId="37620BCD">
            <w:pPr>
              <w:spacing w:line="400" w:lineRule="exact"/>
              <w:jc w:val="center"/>
              <w:rPr>
                <w:rFonts w:ascii="宋体" w:hAnsi="宋体" w:cs="宋体"/>
                <w:color w:val="000000"/>
                <w:szCs w:val="21"/>
              </w:rPr>
            </w:pPr>
            <w:r>
              <w:rPr>
                <w:rFonts w:hint="eastAsia" w:ascii="宋体" w:hAnsi="宋体"/>
                <w:color w:val="000000"/>
                <w:szCs w:val="21"/>
              </w:rPr>
              <w:t>第18周</w:t>
            </w:r>
          </w:p>
        </w:tc>
        <w:tc>
          <w:tcPr>
            <w:tcW w:w="4857" w:type="dxa"/>
            <w:tcBorders>
              <w:top w:val="nil"/>
              <w:left w:val="nil"/>
              <w:right w:val="single" w:color="auto" w:sz="4" w:space="0"/>
            </w:tcBorders>
            <w:vAlign w:val="center"/>
          </w:tcPr>
          <w:p w14:paraId="358007B6">
            <w:pPr>
              <w:spacing w:line="400" w:lineRule="exact"/>
              <w:rPr>
                <w:rFonts w:ascii="宋体" w:hAnsi="宋体"/>
                <w:color w:val="000000"/>
                <w:szCs w:val="21"/>
              </w:rPr>
            </w:pPr>
            <w:r>
              <w:rPr>
                <w:rFonts w:hint="eastAsia" w:ascii="宋体" w:hAnsi="宋体"/>
                <w:color w:val="000000"/>
                <w:szCs w:val="21"/>
              </w:rPr>
              <w:t>期终复习；</w:t>
            </w:r>
          </w:p>
          <w:p w14:paraId="0B0E5A89">
            <w:pPr>
              <w:spacing w:line="400" w:lineRule="exact"/>
              <w:rPr>
                <w:rFonts w:ascii="宋体" w:hAnsi="宋体"/>
                <w:color w:val="000000"/>
                <w:szCs w:val="21"/>
              </w:rPr>
            </w:pPr>
            <w:r>
              <w:rPr>
                <w:rFonts w:hint="eastAsia" w:ascii="宋体" w:hAnsi="宋体"/>
                <w:color w:val="000000"/>
                <w:szCs w:val="21"/>
              </w:rPr>
              <w:t>一</w:t>
            </w:r>
            <w:r>
              <w:rPr>
                <w:rFonts w:hint="eastAsia" w:ascii="宋体" w:hAnsi="宋体"/>
                <w:color w:val="000000"/>
                <w:szCs w:val="21"/>
                <w:lang w:eastAsia="zh-CN"/>
              </w:rPr>
              <w:t>、</w:t>
            </w:r>
            <w:r>
              <w:rPr>
                <w:rFonts w:hint="eastAsia" w:ascii="宋体" w:hAnsi="宋体"/>
                <w:color w:val="000000"/>
                <w:szCs w:val="21"/>
                <w:lang w:val="en-US" w:eastAsia="zh-CN"/>
              </w:rPr>
              <w:t>二</w:t>
            </w:r>
            <w:r>
              <w:rPr>
                <w:rFonts w:hint="eastAsia" w:ascii="宋体" w:hAnsi="宋体"/>
                <w:color w:val="000000"/>
                <w:szCs w:val="21"/>
              </w:rPr>
              <w:t>年级</w:t>
            </w:r>
            <w:r>
              <w:rPr>
                <w:rFonts w:ascii="宋体" w:hAnsi="宋体"/>
                <w:color w:val="000000"/>
                <w:szCs w:val="21"/>
              </w:rPr>
              <w:t>游园活动</w:t>
            </w:r>
            <w:r>
              <w:rPr>
                <w:rFonts w:hint="eastAsia" w:ascii="宋体" w:hAnsi="宋体"/>
                <w:color w:val="000000"/>
                <w:szCs w:val="21"/>
              </w:rPr>
              <w:t>；</w:t>
            </w:r>
          </w:p>
          <w:p w14:paraId="01D70B2F">
            <w:pPr>
              <w:spacing w:line="400" w:lineRule="exact"/>
              <w:rPr>
                <w:rFonts w:ascii="宋体" w:hAnsi="宋体" w:cs="宋体"/>
                <w:color w:val="000000"/>
                <w:szCs w:val="21"/>
              </w:rPr>
            </w:pPr>
            <w:r>
              <w:rPr>
                <w:rFonts w:hint="eastAsia" w:ascii="宋体" w:hAnsi="宋体" w:cs="宋体"/>
                <w:color w:val="000000"/>
                <w:szCs w:val="21"/>
              </w:rPr>
              <w:t>备课组考核、业务考核</w:t>
            </w:r>
            <w:r>
              <w:rPr>
                <w:rFonts w:hint="eastAsia" w:ascii="宋体" w:hAnsi="宋体"/>
                <w:color w:val="000000"/>
                <w:szCs w:val="21"/>
              </w:rPr>
              <w:t>材料准备；</w:t>
            </w:r>
          </w:p>
        </w:tc>
        <w:tc>
          <w:tcPr>
            <w:tcW w:w="2006" w:type="dxa"/>
            <w:tcBorders>
              <w:top w:val="nil"/>
              <w:left w:val="nil"/>
              <w:right w:val="single" w:color="auto" w:sz="4" w:space="0"/>
            </w:tcBorders>
          </w:tcPr>
          <w:p w14:paraId="10218B9A">
            <w:pPr>
              <w:spacing w:line="400" w:lineRule="exact"/>
              <w:rPr>
                <w:rFonts w:ascii="宋体" w:hAnsi="宋体" w:cs="宋体"/>
                <w:color w:val="000000"/>
                <w:szCs w:val="21"/>
              </w:rPr>
            </w:pPr>
            <w:r>
              <w:rPr>
                <w:rFonts w:hint="eastAsia" w:ascii="宋体" w:hAnsi="宋体" w:cs="宋体"/>
                <w:color w:val="000000"/>
                <w:szCs w:val="21"/>
              </w:rPr>
              <w:t>教导处；</w:t>
            </w:r>
          </w:p>
          <w:p w14:paraId="1D30D384">
            <w:pPr>
              <w:spacing w:line="400" w:lineRule="exact"/>
              <w:rPr>
                <w:rFonts w:ascii="宋体" w:hAnsi="宋体" w:cs="宋体"/>
                <w:color w:val="000000"/>
                <w:szCs w:val="21"/>
              </w:rPr>
            </w:pPr>
            <w:r>
              <w:rPr>
                <w:rFonts w:hint="eastAsia" w:ascii="宋体" w:hAnsi="宋体" w:cs="宋体"/>
                <w:color w:val="000000"/>
                <w:szCs w:val="21"/>
              </w:rPr>
              <w:t>教导处；</w:t>
            </w:r>
          </w:p>
          <w:p w14:paraId="142A9522">
            <w:pPr>
              <w:spacing w:line="400" w:lineRule="exact"/>
              <w:rPr>
                <w:rFonts w:ascii="宋体" w:hAnsi="宋体" w:cs="宋体"/>
                <w:color w:val="000000"/>
                <w:szCs w:val="21"/>
              </w:rPr>
            </w:pPr>
            <w:r>
              <w:rPr>
                <w:rFonts w:hint="eastAsia" w:ascii="宋体" w:hAnsi="宋体" w:cs="宋体"/>
                <w:color w:val="000000"/>
                <w:szCs w:val="21"/>
              </w:rPr>
              <w:t>备课组；</w:t>
            </w:r>
          </w:p>
        </w:tc>
      </w:tr>
      <w:tr w14:paraId="7D1C0B3C">
        <w:tblPrEx>
          <w:tblCellMar>
            <w:top w:w="0" w:type="dxa"/>
            <w:left w:w="108" w:type="dxa"/>
            <w:bottom w:w="0" w:type="dxa"/>
            <w:right w:w="108" w:type="dxa"/>
          </w:tblCellMar>
        </w:tblPrEx>
        <w:trPr>
          <w:trHeight w:val="557" w:hRule="atLeast"/>
          <w:jc w:val="center"/>
        </w:trPr>
        <w:tc>
          <w:tcPr>
            <w:tcW w:w="1284" w:type="dxa"/>
            <w:tcBorders>
              <w:top w:val="single" w:color="auto" w:sz="4" w:space="0"/>
              <w:left w:val="single" w:color="auto" w:sz="4" w:space="0"/>
              <w:bottom w:val="single" w:color="auto" w:sz="4" w:space="0"/>
              <w:right w:val="single" w:color="auto" w:sz="4" w:space="0"/>
            </w:tcBorders>
            <w:noWrap/>
            <w:vAlign w:val="center"/>
          </w:tcPr>
          <w:p w14:paraId="40EDE856">
            <w:pPr>
              <w:spacing w:line="400" w:lineRule="exact"/>
              <w:jc w:val="center"/>
              <w:rPr>
                <w:rFonts w:ascii="宋体" w:hAnsi="宋体" w:cs="宋体"/>
                <w:color w:val="000000"/>
                <w:szCs w:val="21"/>
              </w:rPr>
            </w:pPr>
            <w:r>
              <w:rPr>
                <w:rFonts w:hint="eastAsia" w:ascii="宋体" w:hAnsi="宋体"/>
                <w:color w:val="000000"/>
                <w:szCs w:val="21"/>
              </w:rPr>
              <w:t>第19周</w:t>
            </w:r>
          </w:p>
        </w:tc>
        <w:tc>
          <w:tcPr>
            <w:tcW w:w="4857" w:type="dxa"/>
            <w:tcBorders>
              <w:top w:val="single" w:color="auto" w:sz="4" w:space="0"/>
              <w:left w:val="nil"/>
              <w:bottom w:val="single" w:color="auto" w:sz="4" w:space="0"/>
              <w:right w:val="single" w:color="auto" w:sz="4" w:space="0"/>
            </w:tcBorders>
            <w:vAlign w:val="center"/>
          </w:tcPr>
          <w:p w14:paraId="1241C6FD">
            <w:pPr>
              <w:spacing w:line="400" w:lineRule="exact"/>
              <w:rPr>
                <w:rFonts w:ascii="宋体" w:hAnsi="宋体"/>
                <w:color w:val="000000"/>
                <w:szCs w:val="21"/>
              </w:rPr>
            </w:pPr>
            <w:r>
              <w:rPr>
                <w:rFonts w:hint="eastAsia" w:ascii="宋体" w:hAnsi="宋体"/>
                <w:color w:val="000000"/>
                <w:szCs w:val="21"/>
              </w:rPr>
              <w:t>期终复习；</w:t>
            </w:r>
          </w:p>
          <w:p w14:paraId="71B4B267">
            <w:pPr>
              <w:spacing w:line="400" w:lineRule="exact"/>
              <w:rPr>
                <w:rFonts w:hint="eastAsia" w:ascii="宋体" w:hAnsi="宋体"/>
                <w:color w:val="000000"/>
                <w:szCs w:val="21"/>
                <w:lang w:val="en-US" w:eastAsia="zh-CN"/>
              </w:rPr>
            </w:pPr>
            <w:r>
              <w:rPr>
                <w:rFonts w:ascii="宋体" w:hAnsi="宋体"/>
                <w:color w:val="000000"/>
                <w:szCs w:val="21"/>
              </w:rPr>
              <w:t>英语学科期末考</w:t>
            </w:r>
            <w:r>
              <w:rPr>
                <w:rFonts w:hint="eastAsia" w:ascii="宋体" w:hAnsi="宋体"/>
                <w:color w:val="000000"/>
                <w:szCs w:val="21"/>
                <w:lang w:val="en-US" w:eastAsia="zh-CN"/>
              </w:rPr>
              <w:t>查；</w:t>
            </w:r>
          </w:p>
          <w:p w14:paraId="0CA3B5C3">
            <w:pPr>
              <w:spacing w:line="400" w:lineRule="exact"/>
              <w:rPr>
                <w:rFonts w:ascii="宋体" w:hAnsi="宋体"/>
                <w:color w:val="000000"/>
                <w:szCs w:val="21"/>
              </w:rPr>
            </w:pPr>
            <w:r>
              <w:rPr>
                <w:rFonts w:hint="eastAsia" w:ascii="宋体" w:hAnsi="宋体"/>
                <w:color w:val="000000"/>
                <w:szCs w:val="21"/>
              </w:rPr>
              <w:t>三</w:t>
            </w:r>
            <w:r>
              <w:rPr>
                <w:rFonts w:hint="eastAsia" w:ascii="宋体" w:hAnsi="宋体"/>
                <w:color w:val="000000"/>
                <w:szCs w:val="21"/>
                <w:lang w:eastAsia="zh-CN"/>
              </w:rPr>
              <w:t>～</w:t>
            </w:r>
            <w:r>
              <w:rPr>
                <w:rFonts w:hint="eastAsia" w:ascii="宋体" w:hAnsi="宋体"/>
                <w:color w:val="000000"/>
                <w:szCs w:val="21"/>
              </w:rPr>
              <w:t>五年级（语、数）期末考试</w:t>
            </w:r>
            <w:r>
              <w:rPr>
                <w:rFonts w:ascii="宋体" w:hAnsi="宋体"/>
                <w:color w:val="000000"/>
                <w:szCs w:val="21"/>
              </w:rPr>
              <w:t>；</w:t>
            </w:r>
          </w:p>
          <w:p w14:paraId="169AF3AF">
            <w:pPr>
              <w:spacing w:line="400" w:lineRule="exact"/>
              <w:rPr>
                <w:rFonts w:ascii="宋体" w:hAnsi="宋体" w:cs="宋体"/>
                <w:color w:val="000000"/>
                <w:szCs w:val="21"/>
              </w:rPr>
            </w:pPr>
            <w:r>
              <w:rPr>
                <w:rFonts w:hint="eastAsia" w:ascii="宋体" w:hAnsi="宋体" w:cs="宋体"/>
                <w:color w:val="000000"/>
                <w:szCs w:val="21"/>
              </w:rPr>
              <w:t>备课组考核；</w:t>
            </w:r>
          </w:p>
        </w:tc>
        <w:tc>
          <w:tcPr>
            <w:tcW w:w="2006" w:type="dxa"/>
            <w:tcBorders>
              <w:top w:val="single" w:color="auto" w:sz="4" w:space="0"/>
              <w:left w:val="nil"/>
              <w:bottom w:val="single" w:color="auto" w:sz="4" w:space="0"/>
              <w:right w:val="single" w:color="auto" w:sz="4" w:space="0"/>
            </w:tcBorders>
          </w:tcPr>
          <w:p w14:paraId="4E777A26">
            <w:pPr>
              <w:spacing w:line="400" w:lineRule="exact"/>
              <w:rPr>
                <w:rFonts w:ascii="宋体" w:hAnsi="宋体" w:cs="宋体"/>
                <w:color w:val="000000"/>
                <w:szCs w:val="21"/>
              </w:rPr>
            </w:pPr>
            <w:r>
              <w:rPr>
                <w:rFonts w:hint="eastAsia" w:ascii="宋体" w:hAnsi="宋体" w:cs="宋体"/>
                <w:color w:val="000000"/>
                <w:szCs w:val="21"/>
              </w:rPr>
              <w:t>备课组；</w:t>
            </w:r>
          </w:p>
          <w:p w14:paraId="40B4DC34">
            <w:pPr>
              <w:spacing w:line="400" w:lineRule="exact"/>
              <w:rPr>
                <w:rFonts w:hint="eastAsia" w:ascii="宋体" w:hAnsi="宋体" w:cs="宋体"/>
                <w:color w:val="000000"/>
                <w:szCs w:val="21"/>
              </w:rPr>
            </w:pPr>
            <w:r>
              <w:rPr>
                <w:rFonts w:hint="eastAsia" w:ascii="宋体" w:hAnsi="宋体" w:cs="宋体"/>
                <w:color w:val="000000"/>
                <w:szCs w:val="21"/>
              </w:rPr>
              <w:t>教导处；</w:t>
            </w:r>
          </w:p>
          <w:p w14:paraId="2F87A40E">
            <w:pPr>
              <w:spacing w:line="400" w:lineRule="exact"/>
              <w:rPr>
                <w:rFonts w:hint="eastAsia" w:ascii="宋体" w:hAnsi="宋体" w:cs="宋体" w:eastAsiaTheme="minorEastAsia"/>
                <w:color w:val="000000"/>
                <w:szCs w:val="21"/>
                <w:lang w:val="en-US" w:eastAsia="zh-CN"/>
              </w:rPr>
            </w:pPr>
            <w:r>
              <w:rPr>
                <w:rFonts w:hint="eastAsia" w:ascii="宋体" w:hAnsi="宋体" w:cs="宋体"/>
                <w:color w:val="000000"/>
                <w:szCs w:val="21"/>
                <w:lang w:val="en-US" w:eastAsia="zh-CN"/>
              </w:rPr>
              <w:t>备课组；</w:t>
            </w:r>
          </w:p>
        </w:tc>
      </w:tr>
      <w:tr w14:paraId="651C8BC6">
        <w:tblPrEx>
          <w:tblCellMar>
            <w:top w:w="0" w:type="dxa"/>
            <w:left w:w="108" w:type="dxa"/>
            <w:bottom w:w="0" w:type="dxa"/>
            <w:right w:w="108" w:type="dxa"/>
          </w:tblCellMar>
        </w:tblPrEx>
        <w:trPr>
          <w:trHeight w:val="557" w:hRule="atLeast"/>
          <w:jc w:val="center"/>
        </w:trPr>
        <w:tc>
          <w:tcPr>
            <w:tcW w:w="1284" w:type="dxa"/>
            <w:tcBorders>
              <w:top w:val="single" w:color="auto" w:sz="4" w:space="0"/>
              <w:left w:val="single" w:color="auto" w:sz="4" w:space="0"/>
              <w:bottom w:val="single" w:color="auto" w:sz="4" w:space="0"/>
              <w:right w:val="single" w:color="auto" w:sz="4" w:space="0"/>
            </w:tcBorders>
            <w:noWrap/>
            <w:vAlign w:val="center"/>
          </w:tcPr>
          <w:p w14:paraId="515778DA">
            <w:pPr>
              <w:spacing w:line="400" w:lineRule="exact"/>
              <w:jc w:val="center"/>
              <w:rPr>
                <w:rFonts w:ascii="宋体" w:hAnsi="宋体"/>
                <w:color w:val="000000"/>
                <w:szCs w:val="21"/>
              </w:rPr>
            </w:pPr>
            <w:r>
              <w:rPr>
                <w:rFonts w:hint="eastAsia" w:ascii="宋体" w:hAnsi="宋体"/>
                <w:color w:val="000000"/>
                <w:szCs w:val="21"/>
              </w:rPr>
              <w:t>第20周</w:t>
            </w:r>
          </w:p>
        </w:tc>
        <w:tc>
          <w:tcPr>
            <w:tcW w:w="4857" w:type="dxa"/>
            <w:tcBorders>
              <w:top w:val="single" w:color="auto" w:sz="4" w:space="0"/>
              <w:left w:val="nil"/>
              <w:bottom w:val="single" w:color="auto" w:sz="4" w:space="0"/>
              <w:right w:val="single" w:color="auto" w:sz="4" w:space="0"/>
            </w:tcBorders>
            <w:vAlign w:val="center"/>
          </w:tcPr>
          <w:p w14:paraId="5CBDD060">
            <w:pPr>
              <w:spacing w:line="400" w:lineRule="exact"/>
              <w:rPr>
                <w:rFonts w:ascii="宋体" w:hAnsi="宋体" w:cs="宋体"/>
                <w:color w:val="000000"/>
                <w:szCs w:val="21"/>
              </w:rPr>
            </w:pPr>
            <w:r>
              <w:rPr>
                <w:rFonts w:hint="eastAsia" w:ascii="宋体" w:hAnsi="宋体" w:cs="宋体"/>
                <w:color w:val="000000"/>
                <w:szCs w:val="21"/>
              </w:rPr>
              <w:t>个人业务考核；</w:t>
            </w:r>
          </w:p>
          <w:p w14:paraId="0FF0BFF5">
            <w:pPr>
              <w:spacing w:line="400" w:lineRule="exact"/>
              <w:rPr>
                <w:rFonts w:ascii="宋体" w:hAnsi="宋体" w:cs="宋体"/>
                <w:color w:val="000000"/>
                <w:szCs w:val="21"/>
              </w:rPr>
            </w:pPr>
            <w:r>
              <w:rPr>
                <w:rFonts w:hint="eastAsia" w:ascii="宋体" w:hAnsi="宋体" w:cs="宋体"/>
                <w:color w:val="000000"/>
                <w:szCs w:val="21"/>
              </w:rPr>
              <w:t>资料归档；</w:t>
            </w:r>
          </w:p>
        </w:tc>
        <w:tc>
          <w:tcPr>
            <w:tcW w:w="2006" w:type="dxa"/>
            <w:tcBorders>
              <w:top w:val="single" w:color="auto" w:sz="4" w:space="0"/>
              <w:left w:val="nil"/>
              <w:bottom w:val="single" w:color="auto" w:sz="4" w:space="0"/>
              <w:right w:val="single" w:color="auto" w:sz="4" w:space="0"/>
            </w:tcBorders>
          </w:tcPr>
          <w:p w14:paraId="69CC3B52">
            <w:pPr>
              <w:spacing w:line="400" w:lineRule="exact"/>
              <w:rPr>
                <w:rFonts w:ascii="宋体" w:hAnsi="宋体" w:cs="宋体"/>
                <w:color w:val="000000"/>
                <w:szCs w:val="21"/>
              </w:rPr>
            </w:pPr>
            <w:r>
              <w:rPr>
                <w:rFonts w:hint="eastAsia" w:ascii="宋体" w:hAnsi="宋体" w:cs="宋体"/>
                <w:color w:val="000000"/>
                <w:szCs w:val="21"/>
              </w:rPr>
              <w:t>备课组；</w:t>
            </w:r>
          </w:p>
          <w:p w14:paraId="464DF4C7">
            <w:pPr>
              <w:spacing w:line="400" w:lineRule="exact"/>
              <w:rPr>
                <w:rFonts w:ascii="宋体" w:hAnsi="宋体" w:cs="宋体"/>
                <w:color w:val="000000"/>
                <w:szCs w:val="21"/>
              </w:rPr>
            </w:pPr>
            <w:r>
              <w:rPr>
                <w:rFonts w:hint="eastAsia" w:ascii="宋体" w:hAnsi="宋体" w:cs="宋体"/>
                <w:color w:val="000000"/>
                <w:szCs w:val="21"/>
              </w:rPr>
              <w:t>教导处</w:t>
            </w:r>
            <w:r>
              <w:rPr>
                <w:rFonts w:ascii="宋体" w:hAnsi="宋体" w:cs="宋体"/>
                <w:color w:val="000000"/>
                <w:szCs w:val="21"/>
              </w:rPr>
              <w:t>；</w:t>
            </w:r>
          </w:p>
          <w:p w14:paraId="164DE3B9">
            <w:pPr>
              <w:spacing w:line="400" w:lineRule="exact"/>
              <w:rPr>
                <w:rFonts w:ascii="宋体" w:hAnsi="宋体" w:cs="宋体"/>
                <w:color w:val="000000"/>
                <w:szCs w:val="21"/>
              </w:rPr>
            </w:pPr>
            <w:r>
              <w:rPr>
                <w:rFonts w:hint="eastAsia" w:ascii="宋体" w:hAnsi="宋体" w:cs="宋体"/>
                <w:color w:val="000000"/>
                <w:szCs w:val="21"/>
              </w:rPr>
              <w:t>教导处</w:t>
            </w:r>
            <w:r>
              <w:rPr>
                <w:rFonts w:ascii="宋体" w:hAnsi="宋体" w:cs="宋体"/>
                <w:color w:val="000000"/>
                <w:szCs w:val="21"/>
              </w:rPr>
              <w:t>；</w:t>
            </w:r>
          </w:p>
        </w:tc>
      </w:tr>
    </w:tbl>
    <w:p w14:paraId="5829008B">
      <w:pPr>
        <w:spacing w:line="360" w:lineRule="auto"/>
        <w:rPr>
          <w:rFonts w:hint="eastAsia" w:ascii="宋体" w:hAnsi="宋体" w:eastAsia="宋体" w:cs="宋体"/>
          <w:sz w:val="24"/>
          <w:szCs w:val="24"/>
          <w:lang w:val="en-US" w:eastAsia="zh-CN"/>
        </w:rPr>
      </w:pPr>
    </w:p>
    <w:p w14:paraId="3FFD745A">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金新小学 教导处</w:t>
      </w:r>
    </w:p>
    <w:p w14:paraId="1ED52614">
      <w:pPr>
        <w:spacing w:line="360" w:lineRule="auto"/>
        <w:jc w:val="righ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2025.2</w:t>
      </w:r>
    </w:p>
    <w:p w14:paraId="341CBBF2">
      <w:pPr>
        <w:spacing w:line="360" w:lineRule="auto"/>
        <w:ind w:firstLine="480" w:firstLineChars="200"/>
        <w:rPr>
          <w:rFonts w:hint="eastAsia" w:ascii="宋体" w:hAnsi="宋体" w:eastAsia="宋体" w:cs="宋体"/>
          <w:sz w:val="24"/>
          <w:szCs w:val="24"/>
        </w:rPr>
      </w:pPr>
    </w:p>
    <w:p w14:paraId="239FBDE5">
      <w:pPr>
        <w:spacing w:line="360" w:lineRule="auto"/>
        <w:ind w:firstLine="480" w:firstLineChars="200"/>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3ZTc5MWYzMmVmNzMyYjVjOTkwMmE3OGQ2ZGM0NmIifQ=="/>
  </w:docVars>
  <w:rsids>
    <w:rsidRoot w:val="52CF4BC7"/>
    <w:rsid w:val="003D21B2"/>
    <w:rsid w:val="00F211EF"/>
    <w:rsid w:val="03810CB7"/>
    <w:rsid w:val="10480EE1"/>
    <w:rsid w:val="162C5763"/>
    <w:rsid w:val="1F0F333B"/>
    <w:rsid w:val="1F7204B6"/>
    <w:rsid w:val="23404565"/>
    <w:rsid w:val="23FE1AD5"/>
    <w:rsid w:val="24BF1843"/>
    <w:rsid w:val="2875573B"/>
    <w:rsid w:val="30AC089F"/>
    <w:rsid w:val="3D031AB2"/>
    <w:rsid w:val="434155E3"/>
    <w:rsid w:val="453B6B56"/>
    <w:rsid w:val="453F38A4"/>
    <w:rsid w:val="4E1E42B2"/>
    <w:rsid w:val="4E2117D1"/>
    <w:rsid w:val="4FB1204A"/>
    <w:rsid w:val="52CF4BC7"/>
    <w:rsid w:val="568A3DE7"/>
    <w:rsid w:val="58964C4B"/>
    <w:rsid w:val="5F584D68"/>
    <w:rsid w:val="62341981"/>
    <w:rsid w:val="649D18B3"/>
    <w:rsid w:val="656B0139"/>
    <w:rsid w:val="6638547E"/>
    <w:rsid w:val="673D0019"/>
    <w:rsid w:val="68B25FB7"/>
    <w:rsid w:val="6B6F4633"/>
    <w:rsid w:val="6C976141"/>
    <w:rsid w:val="6DB8406F"/>
    <w:rsid w:val="70B20C4F"/>
    <w:rsid w:val="76A73C33"/>
    <w:rsid w:val="7D252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2529</Words>
  <Characters>2556</Characters>
  <Lines>0</Lines>
  <Paragraphs>0</Paragraphs>
  <TotalTime>15</TotalTime>
  <ScaleCrop>false</ScaleCrop>
  <LinksUpToDate>false</LinksUpToDate>
  <CharactersWithSpaces>2573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2022-09-06T06:16:00Z</dcterms:created>
  <dc:creator>zouzou</dc:creator>
  <cp:lastModifiedBy>zouzou</cp:lastModifiedBy>
  <dcterms:modified xsi:type="dcterms:W3CDTF">2025-02-17T07:14:40Z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98A50E34C4724C98A0CBC47C012185D9_13</vt:lpwstr>
  </property>
  <property fmtid="{D5CDD505-2E9C-101B-9397-08002B2CF9AE}" pid="4" name="KSOTemplateDocerSaveRecord">
    <vt:lpwstr>eyJoZGlkIjoiOWI3ZTc5MWYzMmVmNzMyYjVjOTkwMmE3OGQ2ZGM0NmIiLCJ1c2VySWQiOiI0OTUzMzc4NjMifQ==</vt:lpwstr>
  </property>
</Properties>
</file>